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54" w:rsidRPr="00DD7BB5" w:rsidRDefault="00E67B54" w:rsidP="00E67B54">
      <w:pPr>
        <w:pStyle w:val="Balk6"/>
        <w:ind w:firstLine="0"/>
        <w:rPr>
          <w:sz w:val="22"/>
          <w:szCs w:val="22"/>
        </w:rPr>
      </w:pPr>
      <w:bookmarkStart w:id="0" w:name="_Toc232234046"/>
      <w:bookmarkStart w:id="1" w:name="_Toc233021572"/>
      <w:r w:rsidRPr="00DD7BB5">
        <w:rPr>
          <w:sz w:val="22"/>
          <w:szCs w:val="22"/>
        </w:rPr>
        <w:t>Hizmet Alımı İhaleleri İçin Değerlendirme Tablosu Örneği</w:t>
      </w:r>
      <w:bookmarkEnd w:id="1"/>
      <w:r w:rsidRPr="00DD7BB5">
        <w:rPr>
          <w:sz w:val="22"/>
          <w:szCs w:val="22"/>
        </w:rPr>
        <w:t xml:space="preserve"> </w:t>
      </w:r>
      <w:bookmarkEnd w:id="0"/>
    </w:p>
    <w:p w:rsidR="00E67B54" w:rsidRPr="007C40DC" w:rsidRDefault="00E67B54" w:rsidP="00E67B54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rPr>
          <w:b/>
        </w:rPr>
      </w:pPr>
      <w:bookmarkStart w:id="2" w:name="_GoBack"/>
      <w:bookmarkEnd w:id="2"/>
    </w:p>
    <w:p w:rsidR="00E67B54" w:rsidRPr="007C40DC" w:rsidRDefault="00E67B54" w:rsidP="00E67B54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jc w:val="both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Aşağıdaki tablo teknik tekliflerin Değerlendirme Komitesi üyeleri tarafından ayrı ayrı değerlendirilip puanlandıktan sonra, ortalama teknik puanların bulunması ve eşik değeri geçen tekliflerin mali puanlarının hesaplanması için açıklayıcı bir örnektir.</w:t>
      </w:r>
    </w:p>
    <w:p w:rsidR="00E67B54" w:rsidRPr="007C40DC" w:rsidRDefault="00E67B54" w:rsidP="00E67B54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rPr>
          <w:b/>
        </w:rPr>
      </w:pPr>
    </w:p>
    <w:p w:rsidR="00E67B54" w:rsidRPr="007C40DC" w:rsidRDefault="00E67B54" w:rsidP="00E67B54">
      <w:pPr>
        <w:keepNext/>
        <w:tabs>
          <w:tab w:val="left" w:pos="1134"/>
        </w:tabs>
        <w:ind w:left="1134" w:hanging="1134"/>
        <w:jc w:val="center"/>
        <w:rPr>
          <w:b/>
          <w:sz w:val="16"/>
          <w:szCs w:val="16"/>
        </w:rPr>
      </w:pPr>
    </w:p>
    <w:tbl>
      <w:tblPr>
        <w:tblpPr w:leftFromText="141" w:rightFromText="141" w:vertAnchor="text" w:horzAnchor="margin" w:tblpY="10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305"/>
        <w:gridCol w:w="1644"/>
        <w:gridCol w:w="1871"/>
        <w:gridCol w:w="1843"/>
      </w:tblGrid>
      <w:tr w:rsidR="00E67B54" w:rsidRPr="007C40DC" w:rsidTr="00E3127E"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En yüksek</w:t>
            </w: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1</w:t>
            </w: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2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3</w:t>
            </w:r>
          </w:p>
        </w:tc>
      </w:tr>
      <w:tr w:rsidR="00E67B54" w:rsidRPr="007C40DC" w:rsidTr="00E3127E">
        <w:tc>
          <w:tcPr>
            <w:tcW w:w="9356" w:type="dxa"/>
            <w:gridSpan w:val="5"/>
            <w:vAlign w:val="center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Bölüm 1: Teknik Değerlendirme</w:t>
            </w:r>
          </w:p>
        </w:tc>
      </w:tr>
      <w:tr w:rsidR="00E67B54" w:rsidRPr="007C40DC" w:rsidTr="00E3127E"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Değerlendirici A</w:t>
            </w:r>
          </w:p>
        </w:tc>
        <w:tc>
          <w:tcPr>
            <w:tcW w:w="1305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100</w:t>
            </w: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55</w:t>
            </w: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88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84</w:t>
            </w:r>
          </w:p>
        </w:tc>
      </w:tr>
      <w:tr w:rsidR="00E67B54" w:rsidRPr="007C40DC" w:rsidTr="00E3127E"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Değerlendirici B</w:t>
            </w:r>
          </w:p>
        </w:tc>
        <w:tc>
          <w:tcPr>
            <w:tcW w:w="1305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100</w:t>
            </w: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60</w:t>
            </w: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84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82</w:t>
            </w:r>
          </w:p>
        </w:tc>
      </w:tr>
      <w:tr w:rsidR="00E67B54" w:rsidRPr="007C40DC" w:rsidTr="00E3127E"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Değerlendirici C</w:t>
            </w:r>
          </w:p>
        </w:tc>
        <w:tc>
          <w:tcPr>
            <w:tcW w:w="1305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100</w:t>
            </w: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59</w:t>
            </w: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82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90</w:t>
            </w:r>
          </w:p>
        </w:tc>
      </w:tr>
      <w:tr w:rsidR="00E67B54" w:rsidRPr="007C40DC" w:rsidTr="00E3127E"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Toplam</w:t>
            </w:r>
          </w:p>
        </w:tc>
        <w:tc>
          <w:tcPr>
            <w:tcW w:w="1305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300</w:t>
            </w: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174</w:t>
            </w: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254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256</w:t>
            </w:r>
          </w:p>
        </w:tc>
      </w:tr>
      <w:tr w:rsidR="00E67B54" w:rsidRPr="007C40DC" w:rsidTr="00E3127E">
        <w:tc>
          <w:tcPr>
            <w:tcW w:w="2693" w:type="dxa"/>
          </w:tcPr>
          <w:p w:rsidR="00E67B54" w:rsidRPr="007C40DC" w:rsidRDefault="00E67B54" w:rsidP="00E3127E">
            <w:pPr>
              <w:keepNext/>
              <w:keepLines/>
              <w:rPr>
                <w:rStyle w:val="Style11pt"/>
                <w:sz w:val="20"/>
                <w:szCs w:val="20"/>
              </w:rPr>
            </w:pPr>
            <w:r w:rsidRPr="007C40DC">
              <w:rPr>
                <w:b/>
                <w:noProof/>
                <w:sz w:val="20"/>
                <w:szCs w:val="20"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8.4pt;margin-top:3.9pt;width:408pt;height:77pt;rotation:-2175485fd;z-index:-251657216;mso-position-horizontal-relative:text;mso-position-vertical-relative:text" fillcolor="silver" stroked="f">
                  <v:shadow on="t" opacity="52429f"/>
                  <v:textpath style="font-family:&quot;Arial Black&quot;;font-style:italic;v-text-kern:t" trim="t" fitpath="t" string="ÖRNEKTİR"/>
                </v:shape>
              </w:pict>
            </w:r>
            <w:r w:rsidRPr="007C40DC">
              <w:rPr>
                <w:rStyle w:val="Style11pt"/>
                <w:sz w:val="20"/>
                <w:szCs w:val="20"/>
              </w:rPr>
              <w:t>Ortalama puan      (aritmetik ortalama)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174/3=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58.00</w:t>
            </w: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254/3=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84.67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256/3=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85.33</w:t>
            </w:r>
          </w:p>
        </w:tc>
      </w:tr>
      <w:tr w:rsidR="00E67B54" w:rsidRPr="007C40DC" w:rsidTr="00E3127E">
        <w:tc>
          <w:tcPr>
            <w:tcW w:w="2693" w:type="dxa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Teknik puan (teklif puanı/ en yüksek teklifin puanı)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Diskalifiye*</w:t>
            </w: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(84.67/85.33)x100= </w:t>
            </w:r>
            <w:r w:rsidRPr="007C40DC">
              <w:rPr>
                <w:b/>
                <w:sz w:val="20"/>
                <w:szCs w:val="20"/>
              </w:rPr>
              <w:t>99.22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rPr>
                <w:b/>
                <w:sz w:val="20"/>
                <w:szCs w:val="20"/>
              </w:rPr>
            </w:pPr>
          </w:p>
          <w:p w:rsidR="00E67B54" w:rsidRPr="007C40DC" w:rsidRDefault="00E67B54" w:rsidP="00E3127E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100.00</w:t>
            </w:r>
          </w:p>
        </w:tc>
      </w:tr>
      <w:tr w:rsidR="00E67B54" w:rsidRPr="007C40DC" w:rsidTr="00E3127E">
        <w:tc>
          <w:tcPr>
            <w:tcW w:w="9356" w:type="dxa"/>
            <w:gridSpan w:val="5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Bölüm 2: Mali Değerlendirme</w:t>
            </w:r>
          </w:p>
        </w:tc>
      </w:tr>
      <w:tr w:rsidR="00E67B54" w:rsidRPr="007C40DC" w:rsidTr="00E3127E">
        <w:trPr>
          <w:cantSplit/>
        </w:trPr>
        <w:tc>
          <w:tcPr>
            <w:tcW w:w="2693" w:type="dxa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Toplam bedel 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Teknik değerlendirme sonucu diskalifiye edildi</w:t>
            </w: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27000 YTL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28500 YTL</w:t>
            </w:r>
          </w:p>
        </w:tc>
      </w:tr>
      <w:tr w:rsidR="00E67B54" w:rsidRPr="007C40DC" w:rsidTr="00E3127E">
        <w:trPr>
          <w:cantSplit/>
        </w:trPr>
        <w:tc>
          <w:tcPr>
            <w:tcW w:w="2693" w:type="dxa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Mali puan</w:t>
            </w:r>
          </w:p>
          <w:p w:rsidR="00E67B54" w:rsidRPr="007C40DC" w:rsidRDefault="00E67B54" w:rsidP="00E3127E">
            <w:pPr>
              <w:keepNext/>
              <w:keepLines/>
              <w:spacing w:before="60" w:after="60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(en düşük fiyat /  teklif fiyatı x 100)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b/>
                <w:sz w:val="20"/>
                <w:szCs w:val="20"/>
              </w:rPr>
            </w:pPr>
            <w:r w:rsidRPr="007C40DC">
              <w:rPr>
                <w:rStyle w:val="Style11pt"/>
                <w:b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27000 /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>28500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sz w:val="20"/>
                <w:szCs w:val="20"/>
              </w:rPr>
            </w:pPr>
            <w:proofErr w:type="gramStart"/>
            <w:r w:rsidRPr="007C40DC">
              <w:rPr>
                <w:rStyle w:val="Style11pt"/>
                <w:sz w:val="20"/>
                <w:szCs w:val="20"/>
              </w:rPr>
              <w:t>x</w:t>
            </w:r>
            <w:proofErr w:type="gramEnd"/>
            <w:r w:rsidRPr="007C40DC">
              <w:rPr>
                <w:rStyle w:val="Style11pt"/>
                <w:sz w:val="20"/>
                <w:szCs w:val="20"/>
              </w:rPr>
              <w:t xml:space="preserve"> 100 = </w:t>
            </w:r>
          </w:p>
          <w:p w:rsidR="00E67B54" w:rsidRPr="007C40DC" w:rsidRDefault="00E67B54" w:rsidP="00E3127E">
            <w:pPr>
              <w:keepNext/>
              <w:keepLines/>
              <w:jc w:val="center"/>
              <w:rPr>
                <w:rStyle w:val="Style11pt"/>
                <w:b/>
                <w:sz w:val="20"/>
                <w:szCs w:val="20"/>
              </w:rPr>
            </w:pPr>
            <w:r w:rsidRPr="007C40DC">
              <w:rPr>
                <w:rStyle w:val="Style11pt"/>
                <w:b/>
                <w:sz w:val="20"/>
                <w:szCs w:val="20"/>
              </w:rPr>
              <w:t>94.74</w:t>
            </w:r>
          </w:p>
        </w:tc>
      </w:tr>
      <w:tr w:rsidR="00E67B54" w:rsidRPr="007C40DC" w:rsidTr="00E3127E">
        <w:tc>
          <w:tcPr>
            <w:tcW w:w="9356" w:type="dxa"/>
            <w:gridSpan w:val="5"/>
          </w:tcPr>
          <w:p w:rsidR="00E67B54" w:rsidRPr="007C40DC" w:rsidRDefault="00E67B54" w:rsidP="00E3127E">
            <w:pPr>
              <w:keepNext/>
              <w:keepLines/>
              <w:spacing w:before="60" w:after="6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Bölüm 3: Genel Değerlendirme</w:t>
            </w:r>
          </w:p>
        </w:tc>
      </w:tr>
      <w:tr w:rsidR="00E67B54" w:rsidRPr="007C40DC" w:rsidTr="00E3127E">
        <w:trPr>
          <w:cantSplit/>
        </w:trPr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Teknik puan x 0.80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Teknik değerlendirme sonucu diskalifiye edildi</w:t>
            </w: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99,22 x 0.80 = </w:t>
            </w:r>
            <w:r w:rsidRPr="007C40DC">
              <w:rPr>
                <w:b/>
                <w:sz w:val="20"/>
                <w:szCs w:val="20"/>
              </w:rPr>
              <w:t>79.38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100.00 x 0.80 = </w:t>
            </w:r>
            <w:r w:rsidRPr="007C40DC">
              <w:rPr>
                <w:b/>
                <w:sz w:val="20"/>
                <w:szCs w:val="20"/>
              </w:rPr>
              <w:t>80.00</w:t>
            </w:r>
          </w:p>
        </w:tc>
      </w:tr>
      <w:tr w:rsidR="00E67B54" w:rsidRPr="007C40DC" w:rsidTr="00E3127E">
        <w:trPr>
          <w:cantSplit/>
        </w:trPr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Mali </w:t>
            </w:r>
            <w:proofErr w:type="gramStart"/>
            <w:r w:rsidRPr="007C40DC">
              <w:rPr>
                <w:sz w:val="20"/>
                <w:szCs w:val="20"/>
              </w:rPr>
              <w:t>puan  x</w:t>
            </w:r>
            <w:proofErr w:type="gramEnd"/>
            <w:r w:rsidRPr="007C40DC">
              <w:rPr>
                <w:sz w:val="20"/>
                <w:szCs w:val="20"/>
              </w:rPr>
              <w:t xml:space="preserve"> 0.20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100.00 x 0.20=  </w:t>
            </w:r>
            <w:r w:rsidRPr="007C40DC">
              <w:rPr>
                <w:b/>
                <w:sz w:val="20"/>
                <w:szCs w:val="20"/>
              </w:rPr>
              <w:t>20.00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94.74 x 0.20= </w:t>
            </w:r>
            <w:r w:rsidRPr="007C40DC">
              <w:rPr>
                <w:b/>
                <w:sz w:val="20"/>
                <w:szCs w:val="20"/>
              </w:rPr>
              <w:t>18.95</w:t>
            </w:r>
          </w:p>
        </w:tc>
      </w:tr>
      <w:tr w:rsidR="00E67B54" w:rsidRPr="007C40DC" w:rsidTr="00E3127E">
        <w:trPr>
          <w:cantSplit/>
        </w:trPr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Genel puan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79.38 + 20.00= </w:t>
            </w:r>
            <w:r w:rsidRPr="007C40DC">
              <w:rPr>
                <w:b/>
                <w:sz w:val="20"/>
                <w:szCs w:val="20"/>
              </w:rPr>
              <w:t>99.38</w:t>
            </w:r>
          </w:p>
        </w:tc>
        <w:tc>
          <w:tcPr>
            <w:tcW w:w="1843" w:type="dxa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rStyle w:val="Style11pt"/>
                <w:sz w:val="20"/>
                <w:szCs w:val="20"/>
              </w:rPr>
              <w:t xml:space="preserve">80.00 + 18.95= </w:t>
            </w:r>
            <w:r w:rsidRPr="007C40DC">
              <w:rPr>
                <w:b/>
                <w:sz w:val="20"/>
                <w:szCs w:val="20"/>
              </w:rPr>
              <w:t>98.95</w:t>
            </w:r>
          </w:p>
        </w:tc>
      </w:tr>
      <w:tr w:rsidR="00E67B54" w:rsidRPr="007C40DC" w:rsidTr="00E3127E">
        <w:trPr>
          <w:cantSplit/>
          <w:trHeight w:val="567"/>
        </w:trPr>
        <w:tc>
          <w:tcPr>
            <w:tcW w:w="269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Son sıralama</w:t>
            </w:r>
          </w:p>
        </w:tc>
        <w:tc>
          <w:tcPr>
            <w:tcW w:w="1305" w:type="dxa"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E67B54" w:rsidRPr="007C40DC" w:rsidRDefault="00E67B54" w:rsidP="00E3127E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E67B54" w:rsidRPr="007C40DC" w:rsidRDefault="00E67B54" w:rsidP="00E3127E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2</w:t>
            </w:r>
          </w:p>
        </w:tc>
      </w:tr>
    </w:tbl>
    <w:p w:rsidR="00E67B54" w:rsidRPr="007C40DC" w:rsidRDefault="00E67B54" w:rsidP="00E67B54">
      <w:pPr>
        <w:keepNext/>
        <w:tabs>
          <w:tab w:val="left" w:pos="1134"/>
        </w:tabs>
        <w:ind w:left="1134" w:hanging="1134"/>
        <w:jc w:val="center"/>
        <w:rPr>
          <w:b/>
          <w:sz w:val="16"/>
          <w:szCs w:val="16"/>
        </w:rPr>
      </w:pPr>
    </w:p>
    <w:p w:rsidR="00E67B54" w:rsidRPr="007C40DC" w:rsidRDefault="00E67B54" w:rsidP="00E67B54">
      <w:pPr>
        <w:rPr>
          <w:sz w:val="12"/>
          <w:szCs w:val="12"/>
        </w:rPr>
      </w:pPr>
    </w:p>
    <w:p w:rsidR="00E67B54" w:rsidRPr="007C40DC" w:rsidRDefault="00E67B54" w:rsidP="00E67B54">
      <w:pPr>
        <w:rPr>
          <w:i/>
        </w:rPr>
      </w:pPr>
      <w:r w:rsidRPr="007C40DC">
        <w:rPr>
          <w:i/>
        </w:rPr>
        <w:t xml:space="preserve">* Sadece 80 puanın üzerindeki teklifler mali değerlendirmeye alınır. </w:t>
      </w:r>
    </w:p>
    <w:p w:rsidR="00E67B54" w:rsidRPr="007C40DC" w:rsidRDefault="00E67B54" w:rsidP="00E67B54">
      <w:pPr>
        <w:rPr>
          <w:sz w:val="10"/>
          <w:szCs w:val="10"/>
        </w:rPr>
      </w:pPr>
    </w:p>
    <w:p w:rsidR="00E67B54" w:rsidRPr="007C40DC" w:rsidRDefault="00E67B54" w:rsidP="00E67B54"/>
    <w:p w:rsidR="00E67B54" w:rsidRPr="007C40DC" w:rsidRDefault="00E67B54" w:rsidP="00E67B54">
      <w:pPr>
        <w:rPr>
          <w:i/>
          <w:sz w:val="20"/>
          <w:szCs w:val="20"/>
        </w:rPr>
      </w:pPr>
      <w:r w:rsidRPr="007C40DC">
        <w:rPr>
          <w:i/>
          <w:sz w:val="20"/>
          <w:szCs w:val="20"/>
        </w:rPr>
        <w:t>Tarih</w:t>
      </w:r>
    </w:p>
    <w:p w:rsidR="00E67B54" w:rsidRPr="007C40DC" w:rsidRDefault="00E67B54" w:rsidP="00E67B54">
      <w:pPr>
        <w:rPr>
          <w:i/>
          <w:sz w:val="20"/>
          <w:szCs w:val="20"/>
        </w:rPr>
      </w:pPr>
    </w:p>
    <w:p w:rsidR="00E67B54" w:rsidRPr="007C40DC" w:rsidRDefault="00E67B54" w:rsidP="00E67B54">
      <w:pPr>
        <w:rPr>
          <w:i/>
          <w:sz w:val="20"/>
          <w:szCs w:val="20"/>
        </w:rPr>
      </w:pPr>
      <w:r w:rsidRPr="007C40DC">
        <w:rPr>
          <w:i/>
          <w:sz w:val="20"/>
          <w:szCs w:val="20"/>
        </w:rPr>
        <w:t>(Değerlendirme Komitesi) imzaları:</w:t>
      </w: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093" w:rsidRDefault="009C2093" w:rsidP="00E67B54">
      <w:r>
        <w:separator/>
      </w:r>
    </w:p>
  </w:endnote>
  <w:endnote w:type="continuationSeparator" w:id="0">
    <w:p w:rsidR="009C2093" w:rsidRDefault="009C2093" w:rsidP="00E6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093" w:rsidRDefault="009C2093" w:rsidP="00E67B54">
      <w:r>
        <w:separator/>
      </w:r>
    </w:p>
  </w:footnote>
  <w:footnote w:type="continuationSeparator" w:id="0">
    <w:p w:rsidR="009C2093" w:rsidRDefault="009C2093" w:rsidP="00E67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B54" w:rsidRPr="00E67B54" w:rsidRDefault="00E67B54">
    <w:pPr>
      <w:pStyle w:val="stbilgi"/>
      <w:rPr>
        <w:sz w:val="20"/>
        <w:szCs w:val="20"/>
      </w:rPr>
    </w:pPr>
    <w:r w:rsidRPr="00E67B54">
      <w:rPr>
        <w:sz w:val="20"/>
        <w:szCs w:val="20"/>
      </w:rPr>
      <w:t xml:space="preserve">SR Ek 10 – Hizmet Alımı İhaleleri İçin Değerlendirme Tablosu Örneği </w:t>
    </w:r>
    <w:r>
      <w:rPr>
        <w:sz w:val="20"/>
        <w:szCs w:val="20"/>
      </w:rPr>
      <w:tab/>
    </w:r>
    <w:r w:rsidRPr="00E67B54">
      <w:rPr>
        <w:sz w:val="20"/>
        <w:szCs w:val="20"/>
      </w:rPr>
      <w:t>Satın Alma Rehberi</w:t>
    </w:r>
  </w:p>
  <w:p w:rsidR="00E67B54" w:rsidRDefault="00E67B5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54"/>
    <w:rsid w:val="00957DA3"/>
    <w:rsid w:val="009C2093"/>
    <w:rsid w:val="00E6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E67B54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E67B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yle11pt">
    <w:name w:val="Style 11 pt"/>
    <w:rsid w:val="00E67B54"/>
    <w:rPr>
      <w:sz w:val="22"/>
    </w:rPr>
  </w:style>
  <w:style w:type="paragraph" w:customStyle="1" w:styleId="CharCharChar1CharCharCharCharCharCharChar">
    <w:name w:val=" Char Char Char1 Char Char Char Char Char Char Char"/>
    <w:basedOn w:val="Normal"/>
    <w:rsid w:val="00E67B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E67B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67B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67B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7B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7B5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B54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E67B54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E67B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yle11pt">
    <w:name w:val="Style 11 pt"/>
    <w:rsid w:val="00E67B54"/>
    <w:rPr>
      <w:sz w:val="22"/>
    </w:rPr>
  </w:style>
  <w:style w:type="paragraph" w:customStyle="1" w:styleId="CharCharChar1CharCharCharCharCharCharChar">
    <w:name w:val=" Char Char Char1 Char Char Char Char Char Char Char"/>
    <w:basedOn w:val="Normal"/>
    <w:rsid w:val="00E67B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E67B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67B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67B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7B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7B5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B54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2012-04-19T06:40:00Z</dcterms:created>
  <dcterms:modified xsi:type="dcterms:W3CDTF">2012-04-19T06:43:00Z</dcterms:modified>
</cp:coreProperties>
</file>