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9E640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4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E640B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E640B" w:rsidRPr="009E640B">
        <w:rPr>
          <w:rFonts w:ascii="Times New Roman" w:hAnsi="Times New Roman" w:cs="Times New Roman"/>
          <w:sz w:val="20"/>
          <w:szCs w:val="17"/>
        </w:rPr>
        <w:t xml:space="preserve">AR-GE Faaliyetleri ile Bölgede İlk Kez </w:t>
      </w:r>
      <w:proofErr w:type="spellStart"/>
      <w:r w:rsidR="009E640B" w:rsidRPr="009E640B">
        <w:rPr>
          <w:rFonts w:ascii="Times New Roman" w:hAnsi="Times New Roman" w:cs="Times New Roman"/>
          <w:sz w:val="20"/>
          <w:szCs w:val="17"/>
        </w:rPr>
        <w:t>İzoboyler</w:t>
      </w:r>
      <w:proofErr w:type="spellEnd"/>
      <w:r w:rsidR="009E640B" w:rsidRPr="009E640B">
        <w:rPr>
          <w:rFonts w:ascii="Times New Roman" w:hAnsi="Times New Roman" w:cs="Times New Roman"/>
          <w:sz w:val="20"/>
          <w:szCs w:val="17"/>
        </w:rPr>
        <w:t xml:space="preserve"> ve Baca Boyleri İmalatına Başlama ve İhracata Geçiş</w:t>
      </w:r>
      <w:r w:rsidR="009E640B" w:rsidRPr="009E640B">
        <w:rPr>
          <w:rFonts w:ascii="Times New Roman" w:hAnsi="Times New Roman" w:cs="Times New Roman"/>
          <w:sz w:val="20"/>
        </w:rPr>
        <w:t xml:space="preserve"> Projesi</w:t>
      </w:r>
      <w:r w:rsidR="009E640B">
        <w:rPr>
          <w:rFonts w:ascii="Times New Roman" w:hAnsi="Times New Roman" w:cs="Times New Roman"/>
          <w:sz w:val="20"/>
        </w:rPr>
        <w:t xml:space="preserve"> Mal Alımı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709D6" w:rsidRPr="00CA4A2B">
        <w:rPr>
          <w:rFonts w:ascii="Times New Roman" w:hAnsi="Times New Roman" w:cs="Times New Roman"/>
          <w:sz w:val="20"/>
        </w:rPr>
        <w:t>TR62/14/BREY/0052</w:t>
      </w:r>
    </w:p>
    <w:p w:rsidR="00192396" w:rsidRPr="00192396" w:rsidRDefault="003709D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Şartname”de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Default="00957DA3" w:rsidP="009E640B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</w:p>
    <w:sectPr w:rsidR="00957DA3" w:rsidSect="00301E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810" w:rsidRDefault="00C56810" w:rsidP="00192396">
      <w:pPr>
        <w:spacing w:after="0" w:line="240" w:lineRule="auto"/>
      </w:pPr>
      <w:r>
        <w:separator/>
      </w:r>
    </w:p>
  </w:endnote>
  <w:endnote w:type="continuationSeparator" w:id="0">
    <w:p w:rsidR="00C56810" w:rsidRDefault="00C56810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810" w:rsidRDefault="00C56810" w:rsidP="00192396">
      <w:pPr>
        <w:spacing w:after="0" w:line="240" w:lineRule="auto"/>
      </w:pPr>
      <w:r>
        <w:separator/>
      </w:r>
    </w:p>
  </w:footnote>
  <w:footnote w:type="continuationSeparator" w:id="0">
    <w:p w:rsidR="00C56810" w:rsidRDefault="00C56810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396"/>
    <w:rsid w:val="00192396"/>
    <w:rsid w:val="00301E3C"/>
    <w:rsid w:val="00335559"/>
    <w:rsid w:val="003709D6"/>
    <w:rsid w:val="00534383"/>
    <w:rsid w:val="008C3770"/>
    <w:rsid w:val="00957DA3"/>
    <w:rsid w:val="009E640B"/>
    <w:rsid w:val="00C56810"/>
    <w:rsid w:val="00CA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E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2012-04-19T05:44:00Z</dcterms:created>
  <dcterms:modified xsi:type="dcterms:W3CDTF">2014-08-07T08:01:00Z</dcterms:modified>
</cp:coreProperties>
</file>