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spacing w:before="120" w:after="120" w:line="240" w:lineRule="auto"/>
        <w:jc w:val="center"/>
        <w:outlineLvl w:val="5"/>
        <w:rPr>
          <w:rFonts w:ascii="Times New Roman" w:eastAsia="Times New Roman" w:hAnsi="Times New Roman" w:cs="Times New Roman"/>
          <w:b/>
          <w:bCs/>
          <w:sz w:val="24"/>
          <w:szCs w:val="24"/>
        </w:rPr>
      </w:pPr>
      <w:bookmarkStart w:id="1" w:name="_Söz.Ek-3:_Teknik_Teklif"/>
      <w:bookmarkStart w:id="2" w:name="_Toc233021556"/>
      <w:bookmarkEnd w:id="1"/>
      <w:r w:rsidRPr="00192396">
        <w:rPr>
          <w:rFonts w:ascii="Times New Roman" w:eastAsia="Times New Roman" w:hAnsi="Times New Roman" w:cs="Times New Roman"/>
          <w:b/>
          <w:bCs/>
          <w:sz w:val="24"/>
          <w:szCs w:val="24"/>
        </w:rPr>
        <w:t>Söz. Ek-3: Teknik Teklif</w:t>
      </w:r>
      <w:bookmarkEnd w:id="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kern w:val="28"/>
          <w:sz w:val="28"/>
          <w:szCs w:val="28"/>
        </w:rPr>
      </w:pPr>
      <w:bookmarkStart w:id="3" w:name="_Toc18824040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4" w:name="_Toc232234026"/>
      <w:r w:rsidRPr="00192396">
        <w:rPr>
          <w:rFonts w:ascii="Times New Roman" w:eastAsia="Times New Roman" w:hAnsi="Times New Roman" w:cs="Times New Roman"/>
          <w:b/>
          <w:bCs/>
          <w:sz w:val="24"/>
          <w:szCs w:val="24"/>
          <w:lang w:eastAsia="tr-TR"/>
        </w:rPr>
        <w:lastRenderedPageBreak/>
        <w:t>TEKNİK TEKLİF (Hizmet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w:t>
      </w:r>
      <w:bookmarkEnd w:id="3"/>
      <w:r w:rsidRPr="00192396">
        <w:rPr>
          <w:rFonts w:ascii="Times New Roman" w:eastAsia="Times New Roman" w:hAnsi="Times New Roman" w:cs="Times New Roman"/>
          <w:b/>
          <w:bCs/>
          <w:sz w:val="24"/>
          <w:szCs w:val="24"/>
          <w:lang w:eastAsia="tr-TR"/>
        </w:rPr>
        <w:t xml:space="preserve"> 3a</w:t>
      </w:r>
      <w:proofErr w:type="gramStart"/>
      <w:r w:rsidRPr="00192396">
        <w:rPr>
          <w:rFonts w:ascii="Times New Roman" w:eastAsia="Times New Roman" w:hAnsi="Times New Roman" w:cs="Times New Roman"/>
          <w:b/>
          <w:bCs/>
          <w:sz w:val="24"/>
          <w:szCs w:val="24"/>
          <w:lang w:eastAsia="tr-TR"/>
        </w:rPr>
        <w:t>)</w:t>
      </w:r>
      <w:bookmarkEnd w:id="4"/>
      <w:proofErr w:type="gramEnd"/>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&lt;</w:t>
      </w:r>
      <w:r w:rsidRPr="00192396">
        <w:rPr>
          <w:rFonts w:ascii="Times New Roman" w:eastAsia="Times New Roman" w:hAnsi="Times New Roman" w:cs="Times New Roman"/>
          <w:i/>
          <w:sz w:val="20"/>
          <w:szCs w:val="20"/>
          <w:highlight w:val="lightGray"/>
          <w:lang w:eastAsia="tr-TR"/>
        </w:rPr>
        <w:t>Serbest formatta aşağıdaki bilgileri içeren ve İş Tanımı  (Şartname) ile uyumlu olarak teklifinizi hazırlayınız&gt;</w:t>
      </w:r>
      <w:r w:rsidRPr="00192396">
        <w:rPr>
          <w:rFonts w:ascii="Times New Roman" w:eastAsia="Times New Roman" w:hAnsi="Times New Roman" w:cs="Times New Roman"/>
          <w:sz w:val="20"/>
          <w:szCs w:val="20"/>
          <w:highlight w:val="lightGray"/>
          <w:lang w:eastAsia="tr-TR"/>
        </w:rPr>
        <w:t>.</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Hizmet için öngörülen yaklaşımın ana hatları (Organizasyon ve Metodoloji)</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Hazırlık safhası da </w:t>
      </w:r>
      <w:proofErr w:type="gramStart"/>
      <w:r w:rsidRPr="00192396">
        <w:rPr>
          <w:rFonts w:ascii="Times New Roman" w:eastAsia="Times New Roman" w:hAnsi="Times New Roman" w:cs="Times New Roman"/>
          <w:sz w:val="20"/>
          <w:szCs w:val="20"/>
          <w:lang w:eastAsia="tr-TR"/>
        </w:rPr>
        <w:t>dahil</w:t>
      </w:r>
      <w:proofErr w:type="gramEnd"/>
      <w:r w:rsidRPr="00192396">
        <w:rPr>
          <w:rFonts w:ascii="Times New Roman" w:eastAsia="Times New Roman" w:hAnsi="Times New Roman" w:cs="Times New Roman"/>
          <w:sz w:val="20"/>
          <w:szCs w:val="20"/>
          <w:lang w:eastAsia="tr-TR"/>
        </w:rPr>
        <w:t xml:space="preserve"> faaliyet planı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Faaliyetlerin zamanlaması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Teklif sahibinin vermekte olduğu hizmetler ile ilgili bilgi, belge, broşür, vs.</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Çalışacak uzmanların özgeçmişleri (CV)</w:t>
      </w:r>
    </w:p>
    <w:p w:rsidR="00192396" w:rsidRPr="00192396" w:rsidRDefault="00192396" w:rsidP="00192396">
      <w:pPr>
        <w:spacing w:after="0" w:line="240" w:lineRule="auto"/>
        <w:rPr>
          <w:rFonts w:ascii="Times New Roman" w:eastAsia="Times New Roman" w:hAnsi="Times New Roman" w:cs="Times New Roman"/>
          <w:sz w:val="24"/>
          <w:szCs w:val="24"/>
          <w:lang w:eastAsia="tr-TR"/>
        </w:rPr>
      </w:pPr>
    </w:p>
    <w:p w:rsidR="00192396" w:rsidRPr="00192396" w:rsidRDefault="00192396" w:rsidP="00192396">
      <w:pPr>
        <w:spacing w:after="0" w:line="240" w:lineRule="auto"/>
        <w:rPr>
          <w:rFonts w:ascii="Times New Roman" w:eastAsia="Times New Roman" w:hAnsi="Times New Roman" w:cs="Times New Roman"/>
          <w:position w:val="-2"/>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Fiyat teklifi ayrı zarfa konmalı ve kapalı olarak Teknik Teklif ile birlikte teslim edilmelidir.</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r w:rsidRPr="00192396">
        <w:rPr>
          <w:rFonts w:ascii="Times New Roman" w:eastAsia="Times New Roman" w:hAnsi="Times New Roman" w:cs="Times New Roman"/>
          <w:color w:val="000000"/>
          <w:sz w:val="20"/>
          <w:szCs w:val="20"/>
          <w:lang w:eastAsia="tr-TR"/>
        </w:rPr>
        <w:br w:type="page"/>
      </w: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5" w:name="_Toc232234027"/>
      <w:r w:rsidRPr="00192396">
        <w:rPr>
          <w:rFonts w:ascii="Times New Roman" w:eastAsia="Times New Roman" w:hAnsi="Times New Roman" w:cs="Times New Roman"/>
          <w:b/>
          <w:bCs/>
          <w:sz w:val="24"/>
          <w:szCs w:val="24"/>
          <w:lang w:eastAsia="tr-TR"/>
        </w:rPr>
        <w:lastRenderedPageBreak/>
        <w:t>TEKNİK TEKLİF (Mal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3b</w:t>
      </w:r>
      <w:proofErr w:type="gramStart"/>
      <w:r w:rsidRPr="00192396">
        <w:rPr>
          <w:rFonts w:ascii="Times New Roman" w:eastAsia="Times New Roman" w:hAnsi="Times New Roman" w:cs="Times New Roman"/>
          <w:b/>
          <w:bCs/>
          <w:sz w:val="24"/>
          <w:szCs w:val="24"/>
          <w:lang w:eastAsia="tr-TR"/>
        </w:rPr>
        <w:t>)</w:t>
      </w:r>
      <w:bookmarkEnd w:id="5"/>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6" w:name="_Toc232234028"/>
      <w:r w:rsidRPr="00192396">
        <w:rPr>
          <w:rFonts w:ascii="Times New Roman" w:eastAsia="Times New Roman" w:hAnsi="Times New Roman" w:cs="Times New Roman"/>
          <w:b/>
          <w:sz w:val="20"/>
          <w:szCs w:val="20"/>
          <w:lang w:eastAsia="tr-TR"/>
        </w:rPr>
        <w:t>MAL ALIMI İÇİN TEKNİK TEKLİF FORMU</w:t>
      </w:r>
      <w:bookmarkEnd w:id="6"/>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İstenen özellikleri gösterir, Söz.EK2’deki “Teknik </w:t>
      </w:r>
      <w:proofErr w:type="spellStart"/>
      <w:r w:rsidRPr="00192396">
        <w:rPr>
          <w:rFonts w:ascii="Times New Roman" w:eastAsia="Times New Roman" w:hAnsi="Times New Roman" w:cs="Times New Roman"/>
          <w:sz w:val="20"/>
          <w:szCs w:val="20"/>
          <w:lang w:eastAsia="tr-TR"/>
        </w:rPr>
        <w:t>Şartname”de</w:t>
      </w:r>
      <w:proofErr w:type="spellEnd"/>
      <w:r w:rsidRPr="00192396">
        <w:rPr>
          <w:rFonts w:ascii="Times New Roman" w:eastAsia="Times New Roman" w:hAnsi="Times New Roman" w:cs="Times New Roman"/>
          <w:sz w:val="20"/>
          <w:szCs w:val="20"/>
          <w:lang w:eastAsia="tr-TR"/>
        </w:rPr>
        <w:t xml:space="preserve"> belirtilen Teknik </w:t>
      </w:r>
      <w:proofErr w:type="gramStart"/>
      <w:r w:rsidRPr="00192396">
        <w:rPr>
          <w:rFonts w:ascii="Times New Roman" w:eastAsia="Times New Roman" w:hAnsi="Times New Roman" w:cs="Times New Roman"/>
          <w:sz w:val="20"/>
          <w:szCs w:val="20"/>
          <w:lang w:eastAsia="tr-TR"/>
        </w:rPr>
        <w:t>Özellikler  ile</w:t>
      </w:r>
      <w:proofErr w:type="gramEnd"/>
      <w:r w:rsidRPr="00192396">
        <w:rPr>
          <w:rFonts w:ascii="Times New Roman" w:eastAsia="Times New Roman" w:hAnsi="Times New Roman" w:cs="Times New Roman"/>
          <w:sz w:val="20"/>
          <w:szCs w:val="20"/>
          <w:lang w:eastAsia="tr-TR"/>
        </w:rPr>
        <w:t xml:space="preserv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7" w:name="_Toc232234029"/>
      <w:r w:rsidRPr="00192396">
        <w:rPr>
          <w:rFonts w:ascii="Times New Roman" w:eastAsia="Times New Roman" w:hAnsi="Times New Roman" w:cs="Times New Roman"/>
          <w:b/>
          <w:bCs/>
          <w:sz w:val="24"/>
          <w:szCs w:val="24"/>
          <w:lang w:eastAsia="tr-TR"/>
        </w:rPr>
        <w:lastRenderedPageBreak/>
        <w:t>TEKNİK TEKLİF (Yapım İşi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3c</w:t>
      </w:r>
      <w:proofErr w:type="gramStart"/>
      <w:r w:rsidRPr="00192396">
        <w:rPr>
          <w:rFonts w:ascii="Times New Roman" w:eastAsia="Times New Roman" w:hAnsi="Times New Roman" w:cs="Times New Roman"/>
          <w:b/>
          <w:bCs/>
          <w:sz w:val="24"/>
          <w:szCs w:val="24"/>
          <w:lang w:eastAsia="tr-TR"/>
        </w:rPr>
        <w:t>)</w:t>
      </w:r>
      <w:bookmarkEnd w:id="7"/>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Sözleşmenin uygulanması için teklif edilen ve kullanıma hazır tesis, araç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listesi sunulmalıdır. Bu tesis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w:t>
      </w:r>
      <w:proofErr w:type="spellStart"/>
      <w:r w:rsidRPr="00192396">
        <w:rPr>
          <w:rFonts w:ascii="Times New Roman" w:eastAsia="Times New Roman" w:hAnsi="Times New Roman" w:cs="Times New Roman"/>
          <w:bCs/>
          <w:sz w:val="20"/>
          <w:szCs w:val="24"/>
          <w:lang w:eastAsia="tr-TR"/>
        </w:rPr>
        <w:t>ler</w:t>
      </w:r>
      <w:proofErr w:type="spellEnd"/>
      <w:r w:rsidRPr="00192396">
        <w:rPr>
          <w:rFonts w:ascii="Times New Roman" w:eastAsia="Times New Roman" w:hAnsi="Times New Roman" w:cs="Times New Roman"/>
          <w:bCs/>
          <w:sz w:val="20"/>
          <w:szCs w:val="24"/>
          <w:lang w:eastAsia="tr-TR"/>
        </w:rPr>
        <w:t>)i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w:t>
      </w:r>
      <w:proofErr w:type="spellStart"/>
      <w:r w:rsidRPr="00192396">
        <w:rPr>
          <w:rFonts w:ascii="Times New Roman" w:eastAsia="Times New Roman" w:hAnsi="Times New Roman" w:cs="Times New Roman"/>
          <w:snapToGrid w:val="0"/>
          <w:sz w:val="20"/>
          <w:szCs w:val="20"/>
        </w:rPr>
        <w:t>ler</w:t>
      </w:r>
      <w:proofErr w:type="spellEnd"/>
      <w:r w:rsidRPr="00192396">
        <w:rPr>
          <w:rFonts w:ascii="Times New Roman" w:eastAsia="Times New Roman" w:hAnsi="Times New Roman" w:cs="Times New Roman"/>
          <w:snapToGrid w:val="0"/>
          <w:sz w:val="20"/>
          <w:szCs w:val="20"/>
        </w:rPr>
        <w:t>)inin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192396">
        <w:rPr>
          <w:rFonts w:ascii="Times New Roman" w:eastAsia="Times New Roman" w:hAnsi="Times New Roman" w:cs="Times New Roman"/>
          <w:snapToGrid w:val="0"/>
          <w:sz w:val="20"/>
          <w:szCs w:val="20"/>
        </w:rPr>
        <w:t>konsorsiyum</w:t>
      </w:r>
      <w:proofErr w:type="gramEnd"/>
      <w:r w:rsidRPr="00192396">
        <w:rPr>
          <w:rFonts w:ascii="Times New Roman" w:eastAsia="Times New Roman" w:hAnsi="Times New Roman" w:cs="Times New Roman"/>
          <w:snapToGrid w:val="0"/>
          <w:sz w:val="20"/>
          <w:szCs w:val="20"/>
        </w:rPr>
        <w:t xml:space="preserve">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383" w:rsidRDefault="00534383" w:rsidP="00192396">
      <w:pPr>
        <w:spacing w:after="0" w:line="240" w:lineRule="auto"/>
      </w:pPr>
      <w:r>
        <w:separator/>
      </w:r>
    </w:p>
  </w:endnote>
  <w:endnote w:type="continuationSeparator" w:id="0">
    <w:p w:rsidR="00534383" w:rsidRDefault="00534383" w:rsidP="0019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383" w:rsidRDefault="00534383" w:rsidP="00192396">
      <w:pPr>
        <w:spacing w:after="0" w:line="240" w:lineRule="auto"/>
      </w:pPr>
      <w:r>
        <w:separator/>
      </w:r>
    </w:p>
  </w:footnote>
  <w:footnote w:type="continuationSeparator" w:id="0">
    <w:p w:rsidR="00534383" w:rsidRDefault="00534383" w:rsidP="0019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396" w:rsidRPr="00CA11BF" w:rsidRDefault="00192396">
    <w:pPr>
      <w:pStyle w:val="stbilgi"/>
      <w:rPr>
        <w:rFonts w:ascii="Times New Roman" w:hAnsi="Times New Roman" w:cs="Times New Roman"/>
        <w:sz w:val="20"/>
        <w:szCs w:val="20"/>
      </w:rPr>
    </w:pPr>
    <w:r w:rsidRPr="00CA11BF">
      <w:rPr>
        <w:rFonts w:ascii="Times New Roman" w:hAnsi="Times New Roman" w:cs="Times New Roman"/>
        <w:sz w:val="20"/>
        <w:szCs w:val="20"/>
      </w:rPr>
      <w:t xml:space="preserve">SR Ek 3 – Teklif Dosyası </w:t>
    </w:r>
    <w:r w:rsidRPr="00CA11BF">
      <w:rPr>
        <w:rFonts w:ascii="Times New Roman" w:hAnsi="Times New Roman" w:cs="Times New Roman"/>
        <w:sz w:val="20"/>
        <w:szCs w:val="20"/>
      </w:rPr>
      <w:tab/>
    </w:r>
    <w:r w:rsidRPr="00CA11BF">
      <w:rPr>
        <w:rFonts w:ascii="Times New Roman" w:hAnsi="Times New Roman" w:cs="Times New Roman"/>
        <w:sz w:val="20"/>
        <w:szCs w:val="20"/>
      </w:rPr>
      <w:tab/>
      <w:t xml:space="preserve"> Satın Alma Rehberi</w:t>
    </w:r>
  </w:p>
  <w:p w:rsidR="00192396" w:rsidRDefault="001923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96"/>
    <w:rsid w:val="00192396"/>
    <w:rsid w:val="00335559"/>
    <w:rsid w:val="00534383"/>
    <w:rsid w:val="008C3770"/>
    <w:rsid w:val="00957DA3"/>
    <w:rsid w:val="00CA11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605</Words>
  <Characters>3454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Evren Deniz</cp:lastModifiedBy>
  <cp:revision>3</cp:revision>
  <dcterms:created xsi:type="dcterms:W3CDTF">2012-04-19T05:44:00Z</dcterms:created>
  <dcterms:modified xsi:type="dcterms:W3CDTF">2012-04-19T07:29:00Z</dcterms:modified>
</cp:coreProperties>
</file>