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BF3" w:rsidRPr="00F40BF3" w:rsidRDefault="00F40BF3" w:rsidP="00F40BF3">
      <w:pPr>
        <w:spacing w:before="120" w:after="240" w:line="240" w:lineRule="auto"/>
        <w:jc w:val="both"/>
        <w:rPr>
          <w:rFonts w:ascii="Times New Roman" w:hAnsi="Times New Roman" w:cs="Times New Roman"/>
          <w:b/>
          <w:sz w:val="24"/>
          <w:szCs w:val="24"/>
        </w:rPr>
      </w:pPr>
      <w:r w:rsidRPr="00F40BF3">
        <w:rPr>
          <w:rFonts w:ascii="Times New Roman" w:hAnsi="Times New Roman" w:cs="Times New Roman"/>
          <w:b/>
          <w:sz w:val="24"/>
          <w:szCs w:val="24"/>
        </w:rPr>
        <w:t>EK-1: 2021 SOGEP BİLGİ NOTU</w:t>
      </w:r>
    </w:p>
    <w:p w:rsidR="00F40BF3" w:rsidRDefault="00BA79A9" w:rsidP="00F40BF3">
      <w:pPr>
        <w:pStyle w:val="ListeParagraf"/>
        <w:numPr>
          <w:ilvl w:val="0"/>
          <w:numId w:val="4"/>
        </w:numPr>
        <w:spacing w:before="120" w:after="120" w:line="240" w:lineRule="auto"/>
        <w:ind w:left="284" w:hanging="284"/>
        <w:jc w:val="both"/>
        <w:rPr>
          <w:noProof/>
          <w:lang w:eastAsia="tr-TR"/>
        </w:rPr>
      </w:pPr>
      <w:r w:rsidRPr="00F40BF3">
        <w:rPr>
          <w:rFonts w:ascii="Times New Roman" w:hAnsi="Times New Roman" w:cs="Times New Roman"/>
          <w:b/>
          <w:sz w:val="24"/>
          <w:szCs w:val="24"/>
        </w:rPr>
        <w:t>SOGEP NEDİR?</w:t>
      </w:r>
      <w:r w:rsidRPr="000F76AC">
        <w:rPr>
          <w:noProof/>
          <w:lang w:eastAsia="tr-TR"/>
        </w:rPr>
        <w:t xml:space="preserve"> </w:t>
      </w:r>
    </w:p>
    <w:p w:rsidR="00BA79A9" w:rsidRPr="00F40BF3" w:rsidRDefault="00BA79A9" w:rsidP="00F40BF3">
      <w:pPr>
        <w:spacing w:before="120" w:after="120" w:line="240" w:lineRule="auto"/>
        <w:jc w:val="both"/>
        <w:rPr>
          <w:rFonts w:ascii="Times New Roman" w:hAnsi="Times New Roman" w:cs="Times New Roman"/>
          <w:sz w:val="24"/>
          <w:szCs w:val="24"/>
        </w:rPr>
      </w:pPr>
      <w:r w:rsidRPr="00F40BF3">
        <w:rPr>
          <w:rFonts w:ascii="Times New Roman" w:hAnsi="Times New Roman" w:cs="Times New Roman"/>
          <w:sz w:val="24"/>
          <w:szCs w:val="24"/>
        </w:rPr>
        <w:t xml:space="preserve">Sosyal Gelişmeyi Destekleme Programı’nın (SOGEP) hedefi uygulandığı illerde, yerel dinamikleri harekete geçirerek yoksulluk, göç ve kentleşmeden kaynaklanan sosyal sorunları gidermek, değişen sosyal yapının ortaya çıkardığı ihtiyaçlara karşılık vermek, toplumun dezavantajlı kesimlerinin ekonomik ve sosyal hayata daha aktif katılmalarını sağlamak, istihdam edilebilirliği artırmak, sosyal içermeyi, sosyal girişimciliği ve yenilikçiliği desteklemek ve sosyal sorumluluk uygulamalarını yaygınlaştırmaktır. </w:t>
      </w:r>
    </w:p>
    <w:p w:rsidR="00BA79A9" w:rsidRPr="00063319" w:rsidRDefault="00BA79A9" w:rsidP="00BA79A9">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063319">
        <w:rPr>
          <w:rFonts w:ascii="Times New Roman" w:hAnsi="Times New Roman" w:cs="Times New Roman"/>
          <w:b/>
          <w:sz w:val="24"/>
          <w:szCs w:val="24"/>
        </w:rPr>
        <w:t xml:space="preserve">) </w:t>
      </w:r>
      <w:r>
        <w:rPr>
          <w:rFonts w:ascii="Times New Roman" w:hAnsi="Times New Roman" w:cs="Times New Roman"/>
          <w:b/>
          <w:sz w:val="24"/>
          <w:szCs w:val="24"/>
        </w:rPr>
        <w:t>H</w:t>
      </w:r>
      <w:r w:rsidRPr="00063319">
        <w:rPr>
          <w:rFonts w:ascii="Times New Roman" w:hAnsi="Times New Roman" w:cs="Times New Roman"/>
          <w:b/>
          <w:sz w:val="24"/>
          <w:szCs w:val="24"/>
        </w:rPr>
        <w:t>ANGİ KONULARDA PROJE BAŞVURUSU GERÇEKLEŞTİRİLEBİLİR?</w:t>
      </w:r>
    </w:p>
    <w:p w:rsidR="00BA79A9" w:rsidRPr="00C14331" w:rsidRDefault="00BA79A9" w:rsidP="00BA79A9">
      <w:pPr>
        <w:spacing w:before="120" w:after="120" w:line="240" w:lineRule="auto"/>
        <w:jc w:val="both"/>
        <w:rPr>
          <w:rFonts w:ascii="Times New Roman" w:hAnsi="Times New Roman" w:cs="Times New Roman"/>
          <w:sz w:val="24"/>
          <w:szCs w:val="24"/>
        </w:rPr>
      </w:pPr>
      <w:r w:rsidRPr="00C14331">
        <w:rPr>
          <w:rFonts w:ascii="Times New Roman" w:hAnsi="Times New Roman" w:cs="Times New Roman"/>
          <w:sz w:val="24"/>
          <w:szCs w:val="24"/>
        </w:rPr>
        <w:t>Programın 4 önceliği bulunmakta olup</w:t>
      </w:r>
      <w:r>
        <w:rPr>
          <w:rFonts w:ascii="Times New Roman" w:hAnsi="Times New Roman" w:cs="Times New Roman"/>
          <w:sz w:val="24"/>
          <w:szCs w:val="24"/>
        </w:rPr>
        <w:t xml:space="preserve"> bunlar aşağıda açıklanmıştır:</w:t>
      </w:r>
    </w:p>
    <w:p w:rsidR="00BA79A9" w:rsidRPr="00C14331" w:rsidRDefault="00BA79A9" w:rsidP="00BA79A9">
      <w:pPr>
        <w:autoSpaceDE w:val="0"/>
        <w:autoSpaceDN w:val="0"/>
        <w:adjustRightInd w:val="0"/>
        <w:spacing w:before="120" w:after="120" w:line="240" w:lineRule="auto"/>
        <w:ind w:left="360"/>
        <w:jc w:val="both"/>
        <w:rPr>
          <w:rFonts w:ascii="Times New Roman" w:hAnsi="Times New Roman" w:cs="Times New Roman"/>
          <w:b/>
          <w:color w:val="000000" w:themeColor="text1"/>
          <w:sz w:val="24"/>
          <w:szCs w:val="24"/>
        </w:rPr>
      </w:pPr>
      <w:r w:rsidRPr="00C14331">
        <w:rPr>
          <w:rFonts w:ascii="Times New Roman" w:hAnsi="Times New Roman" w:cs="Times New Roman"/>
          <w:b/>
          <w:color w:val="000000" w:themeColor="text1"/>
          <w:sz w:val="24"/>
          <w:szCs w:val="24"/>
        </w:rPr>
        <w:t>Öncelik</w:t>
      </w:r>
      <w:r>
        <w:rPr>
          <w:rFonts w:ascii="Times New Roman" w:hAnsi="Times New Roman" w:cs="Times New Roman"/>
          <w:b/>
          <w:color w:val="000000" w:themeColor="text1"/>
          <w:sz w:val="24"/>
          <w:szCs w:val="24"/>
        </w:rPr>
        <w:t>-</w:t>
      </w:r>
      <w:r w:rsidRPr="00C14331">
        <w:rPr>
          <w:rFonts w:ascii="Times New Roman" w:hAnsi="Times New Roman" w:cs="Times New Roman"/>
          <w:b/>
          <w:color w:val="000000" w:themeColor="text1"/>
          <w:sz w:val="24"/>
          <w:szCs w:val="24"/>
        </w:rPr>
        <w:t>1: İstihdam Edilebilirliği Artırmak</w:t>
      </w:r>
    </w:p>
    <w:p w:rsidR="00BA79A9" w:rsidRPr="00C14331"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Toplumun dezavantajlı kesimlerinin istihdama katılımının kolaylaştırılmasına ve mesleki bilgi ve becerilerinin geliştirilmesine,</w:t>
      </w:r>
    </w:p>
    <w:p w:rsidR="00BA79A9" w:rsidRPr="00C14331"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Genç istihdamını artırmaya ve</w:t>
      </w:r>
    </w:p>
    <w:p w:rsidR="00BA79A9" w:rsidRPr="00C14331"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İldeki ve bölgedeki ihtiyaçlara uygun alanlarda nitelikli ve üretken beşerî sermayenin geliştirilmesine yönelik projeler.</w:t>
      </w:r>
    </w:p>
    <w:p w:rsidR="00BA79A9" w:rsidRPr="00C14331" w:rsidRDefault="00BA79A9" w:rsidP="00BA79A9">
      <w:pPr>
        <w:autoSpaceDE w:val="0"/>
        <w:autoSpaceDN w:val="0"/>
        <w:adjustRightInd w:val="0"/>
        <w:spacing w:before="120" w:after="12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Öncelik-2: </w:t>
      </w:r>
      <w:r w:rsidRPr="00C14331">
        <w:rPr>
          <w:rFonts w:ascii="Times New Roman" w:hAnsi="Times New Roman" w:cs="Times New Roman"/>
          <w:b/>
          <w:color w:val="000000" w:themeColor="text1"/>
          <w:sz w:val="24"/>
          <w:szCs w:val="24"/>
        </w:rPr>
        <w:t>Sosyal Girişimcilik ve Yenilikçilik</w:t>
      </w:r>
    </w:p>
    <w:p w:rsidR="00BA79A9" w:rsidRPr="00C14331"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Sosyal girişimlerin kurulmasına ve kapasitelerinin artırılmasına,</w:t>
      </w:r>
    </w:p>
    <w:p w:rsidR="00BA79A9"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 xml:space="preserve">İstihdam edilebilirliğe ve sosyal içermeye ilişkin yenilikçi modeller </w:t>
      </w:r>
      <w:r>
        <w:rPr>
          <w:rFonts w:ascii="Times New Roman" w:hAnsi="Times New Roman" w:cs="Times New Roman"/>
          <w:sz w:val="24"/>
          <w:szCs w:val="24"/>
        </w:rPr>
        <w:t>geliştirilmesine ve</w:t>
      </w:r>
    </w:p>
    <w:p w:rsidR="00BA79A9" w:rsidRPr="00C14331"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Sosyal girişimcilik ve sosyal yenilikçilik alanlarında hizmet veren/verecek olan aracı kurumların işleteceği, ekosistem güçlendirmeye yönelik merkezler, sosyal laboratuvarlar ile kuluçka ve hızlandırıcı programların uygulanmasına yönelik projeler.</w:t>
      </w:r>
    </w:p>
    <w:p w:rsidR="00BA79A9" w:rsidRPr="00C14331" w:rsidRDefault="00BA79A9" w:rsidP="00BA79A9">
      <w:pPr>
        <w:autoSpaceDE w:val="0"/>
        <w:autoSpaceDN w:val="0"/>
        <w:adjustRightInd w:val="0"/>
        <w:spacing w:before="120" w:after="12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Öncelik-3: </w:t>
      </w:r>
      <w:r w:rsidRPr="00C14331">
        <w:rPr>
          <w:rFonts w:ascii="Times New Roman" w:hAnsi="Times New Roman" w:cs="Times New Roman"/>
          <w:b/>
          <w:color w:val="000000" w:themeColor="text1"/>
          <w:sz w:val="24"/>
          <w:szCs w:val="24"/>
        </w:rPr>
        <w:t xml:space="preserve">Sosyal İçerme </w:t>
      </w:r>
    </w:p>
    <w:p w:rsidR="00BA79A9" w:rsidRPr="00C14331" w:rsidRDefault="00BA79A9" w:rsidP="00BA79A9">
      <w:pPr>
        <w:pStyle w:val="ListeParagraf"/>
        <w:numPr>
          <w:ilvl w:val="0"/>
          <w:numId w:val="1"/>
        </w:numPr>
        <w:tabs>
          <w:tab w:val="clear" w:pos="720"/>
        </w:tabs>
        <w:spacing w:before="30" w:after="30" w:line="240" w:lineRule="auto"/>
        <w:ind w:left="851" w:hanging="284"/>
        <w:contextualSpacing w:val="0"/>
        <w:jc w:val="both"/>
        <w:rPr>
          <w:rFonts w:ascii="Times New Roman" w:hAnsi="Times New Roman" w:cs="Times New Roman"/>
          <w:sz w:val="24"/>
          <w:szCs w:val="24"/>
        </w:rPr>
      </w:pPr>
      <w:r w:rsidRPr="00C14331">
        <w:rPr>
          <w:rFonts w:ascii="Times New Roman" w:hAnsi="Times New Roman" w:cs="Times New Roman"/>
          <w:sz w:val="24"/>
          <w:szCs w:val="24"/>
        </w:rPr>
        <w:t>Sosyal yardım alan kesimin gelir düzeyinin artırılmasına,</w:t>
      </w:r>
    </w:p>
    <w:p w:rsidR="00BA79A9" w:rsidRPr="00C14331" w:rsidRDefault="00BA79A9" w:rsidP="00BA79A9">
      <w:pPr>
        <w:pStyle w:val="ListeParagraf"/>
        <w:numPr>
          <w:ilvl w:val="0"/>
          <w:numId w:val="1"/>
        </w:numPr>
        <w:tabs>
          <w:tab w:val="clear" w:pos="720"/>
        </w:tabs>
        <w:spacing w:before="30" w:after="30" w:line="240" w:lineRule="auto"/>
        <w:ind w:left="851" w:hanging="284"/>
        <w:contextualSpacing w:val="0"/>
        <w:jc w:val="both"/>
        <w:rPr>
          <w:rFonts w:ascii="Times New Roman" w:hAnsi="Times New Roman" w:cs="Times New Roman"/>
          <w:sz w:val="24"/>
          <w:szCs w:val="24"/>
        </w:rPr>
      </w:pPr>
      <w:r w:rsidRPr="00C14331">
        <w:rPr>
          <w:rFonts w:ascii="Times New Roman" w:hAnsi="Times New Roman" w:cs="Times New Roman"/>
          <w:sz w:val="24"/>
          <w:szCs w:val="24"/>
        </w:rPr>
        <w:t>Toplumun dezavantajlı kesimlerinin yaşam kalitelerinin</w:t>
      </w:r>
      <w:r>
        <w:rPr>
          <w:rFonts w:ascii="Times New Roman" w:hAnsi="Times New Roman" w:cs="Times New Roman"/>
          <w:sz w:val="24"/>
          <w:szCs w:val="24"/>
        </w:rPr>
        <w:t xml:space="preserve"> yükseltilmesine ve</w:t>
      </w:r>
    </w:p>
    <w:p w:rsidR="00BA79A9" w:rsidRPr="00C14331" w:rsidRDefault="00BA79A9" w:rsidP="00BA79A9">
      <w:pPr>
        <w:pStyle w:val="ListeParagraf"/>
        <w:numPr>
          <w:ilvl w:val="0"/>
          <w:numId w:val="1"/>
        </w:numPr>
        <w:tabs>
          <w:tab w:val="clear" w:pos="720"/>
        </w:tabs>
        <w:spacing w:before="30" w:after="30" w:line="240" w:lineRule="auto"/>
        <w:ind w:left="851" w:hanging="284"/>
        <w:contextualSpacing w:val="0"/>
        <w:jc w:val="both"/>
        <w:rPr>
          <w:rFonts w:ascii="Times New Roman" w:hAnsi="Times New Roman" w:cs="Times New Roman"/>
          <w:sz w:val="24"/>
          <w:szCs w:val="24"/>
        </w:rPr>
      </w:pPr>
      <w:r w:rsidRPr="00C14331">
        <w:rPr>
          <w:rFonts w:ascii="Times New Roman" w:hAnsi="Times New Roman" w:cs="Times New Roman"/>
          <w:sz w:val="24"/>
          <w:szCs w:val="24"/>
        </w:rPr>
        <w:t>Dezavantajlı kesimlere sunulan hizmetlerin kalitesinin artırılmasına yönelik yenilikçi ve model nitelikli projeler.</w:t>
      </w:r>
    </w:p>
    <w:p w:rsidR="00BA79A9" w:rsidRPr="00C14331" w:rsidRDefault="00BA79A9" w:rsidP="00BA79A9">
      <w:pPr>
        <w:autoSpaceDE w:val="0"/>
        <w:autoSpaceDN w:val="0"/>
        <w:adjustRightInd w:val="0"/>
        <w:spacing w:before="120" w:after="12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Öncelik-4: </w:t>
      </w:r>
      <w:r w:rsidRPr="00C14331">
        <w:rPr>
          <w:rFonts w:ascii="Times New Roman" w:hAnsi="Times New Roman" w:cs="Times New Roman"/>
          <w:b/>
          <w:color w:val="000000" w:themeColor="text1"/>
          <w:sz w:val="24"/>
          <w:szCs w:val="24"/>
        </w:rPr>
        <w:t xml:space="preserve">Sosyal Sorumluluk </w:t>
      </w:r>
    </w:p>
    <w:p w:rsidR="00BA79A9" w:rsidRPr="00C14331" w:rsidRDefault="00BA79A9" w:rsidP="00BA79A9">
      <w:pPr>
        <w:numPr>
          <w:ilvl w:val="0"/>
          <w:numId w:val="1"/>
        </w:numPr>
        <w:tabs>
          <w:tab w:val="clear" w:pos="720"/>
        </w:tabs>
        <w:spacing w:before="30" w:after="3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Bölge öncelikleriyle kâr amacı güden kesimin sosyal sorumluluk faaliyetlerini uyumlaştırmaya</w:t>
      </w:r>
      <w:r>
        <w:rPr>
          <w:rFonts w:ascii="Times New Roman" w:hAnsi="Times New Roman" w:cs="Times New Roman"/>
          <w:sz w:val="24"/>
          <w:szCs w:val="24"/>
        </w:rPr>
        <w:t xml:space="preserve"> ve </w:t>
      </w:r>
    </w:p>
    <w:p w:rsidR="00BA79A9" w:rsidRPr="00C14331" w:rsidRDefault="00BA79A9" w:rsidP="00BA79A9">
      <w:pPr>
        <w:numPr>
          <w:ilvl w:val="0"/>
          <w:numId w:val="1"/>
        </w:numPr>
        <w:tabs>
          <w:tab w:val="clear" w:pos="720"/>
        </w:tabs>
        <w:spacing w:before="30" w:after="120" w:line="240" w:lineRule="auto"/>
        <w:ind w:left="851" w:hanging="284"/>
        <w:jc w:val="both"/>
        <w:rPr>
          <w:rFonts w:ascii="Times New Roman" w:hAnsi="Times New Roman" w:cs="Times New Roman"/>
          <w:sz w:val="24"/>
          <w:szCs w:val="24"/>
        </w:rPr>
      </w:pPr>
      <w:r w:rsidRPr="00C14331">
        <w:rPr>
          <w:rFonts w:ascii="Times New Roman" w:hAnsi="Times New Roman" w:cs="Times New Roman"/>
          <w:sz w:val="24"/>
          <w:szCs w:val="24"/>
        </w:rPr>
        <w:t>Program öncelik alanlarına ve/veya tespit edilen farklı sosyal bir sorunun çözümüne</w:t>
      </w:r>
      <w:r>
        <w:rPr>
          <w:rFonts w:ascii="Times New Roman" w:hAnsi="Times New Roman" w:cs="Times New Roman"/>
          <w:sz w:val="24"/>
          <w:szCs w:val="24"/>
        </w:rPr>
        <w:t xml:space="preserve"> </w:t>
      </w:r>
      <w:r w:rsidRPr="00C14331">
        <w:rPr>
          <w:rFonts w:ascii="Times New Roman" w:hAnsi="Times New Roman" w:cs="Times New Roman"/>
          <w:sz w:val="24"/>
          <w:szCs w:val="24"/>
        </w:rPr>
        <w:t>yönelik yenilikçi ve model nitelikli projeler.</w:t>
      </w:r>
    </w:p>
    <w:tbl>
      <w:tblPr>
        <w:tblStyle w:val="TabloKlavuzu"/>
        <w:tblW w:w="10627"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10627"/>
      </w:tblGrid>
      <w:tr w:rsidR="00BA79A9" w:rsidTr="00F40BF3">
        <w:tc>
          <w:tcPr>
            <w:tcW w:w="10627" w:type="dxa"/>
            <w:shd w:val="clear" w:color="auto" w:fill="auto"/>
          </w:tcPr>
          <w:p w:rsidR="00BA79A9" w:rsidRPr="00BA79A9" w:rsidRDefault="00BA79A9" w:rsidP="00EB70FB">
            <w:pPr>
              <w:spacing w:before="120" w:after="120"/>
              <w:jc w:val="both"/>
              <w:rPr>
                <w:rFonts w:ascii="Times New Roman" w:hAnsi="Times New Roman" w:cs="Times New Roman"/>
                <w:sz w:val="24"/>
                <w:szCs w:val="24"/>
              </w:rPr>
            </w:pPr>
            <w:r w:rsidRPr="00BA79A9">
              <w:rPr>
                <w:rFonts w:ascii="Times New Roman" w:hAnsi="Times New Roman" w:cs="Times New Roman"/>
                <w:b/>
                <w:sz w:val="24"/>
                <w:szCs w:val="24"/>
              </w:rPr>
              <w:t>DİKKAT</w:t>
            </w:r>
          </w:p>
          <w:p w:rsidR="00BA79A9" w:rsidRDefault="00BA79A9" w:rsidP="00EB70FB">
            <w:pPr>
              <w:spacing w:before="120" w:after="120"/>
              <w:jc w:val="both"/>
              <w:rPr>
                <w:rFonts w:ascii="Times New Roman" w:hAnsi="Times New Roman" w:cs="Times New Roman"/>
                <w:sz w:val="24"/>
                <w:szCs w:val="24"/>
              </w:rPr>
            </w:pPr>
            <w:r w:rsidRPr="00C33984">
              <w:rPr>
                <w:rFonts w:ascii="Times New Roman" w:hAnsi="Times New Roman" w:cs="Times New Roman"/>
                <w:sz w:val="24"/>
                <w:szCs w:val="24"/>
              </w:rPr>
              <w:t>Hazırlanacak projelerin bu önceliklerden en az bir tanesi</w:t>
            </w:r>
            <w:r>
              <w:rPr>
                <w:rFonts w:ascii="Times New Roman" w:hAnsi="Times New Roman" w:cs="Times New Roman"/>
                <w:sz w:val="24"/>
                <w:szCs w:val="24"/>
              </w:rPr>
              <w:t xml:space="preserve"> ile</w:t>
            </w:r>
            <w:r w:rsidR="00551CFC">
              <w:rPr>
                <w:rFonts w:ascii="Times New Roman" w:hAnsi="Times New Roman" w:cs="Times New Roman"/>
                <w:sz w:val="24"/>
                <w:szCs w:val="24"/>
              </w:rPr>
              <w:t xml:space="preserve"> ilişkili olması gerekmektedir</w:t>
            </w:r>
            <w:r>
              <w:rPr>
                <w:rFonts w:ascii="Times New Roman" w:hAnsi="Times New Roman" w:cs="Times New Roman"/>
                <w:sz w:val="24"/>
                <w:szCs w:val="24"/>
              </w:rPr>
              <w:t>. Bununla birlikte projelerin desteklenme şansını artırmak adına</w:t>
            </w:r>
            <w:r w:rsidR="00551CFC">
              <w:rPr>
                <w:rFonts w:ascii="Times New Roman" w:hAnsi="Times New Roman" w:cs="Times New Roman"/>
                <w:sz w:val="24"/>
                <w:szCs w:val="24"/>
              </w:rPr>
              <w:t xml:space="preserve"> aşağıdaki hususlara </w:t>
            </w:r>
            <w:r>
              <w:rPr>
                <w:rFonts w:ascii="Times New Roman" w:hAnsi="Times New Roman" w:cs="Times New Roman"/>
                <w:sz w:val="24"/>
                <w:szCs w:val="24"/>
              </w:rPr>
              <w:t>dikkat edilmesi tavsiye edilmektedir:</w:t>
            </w:r>
          </w:p>
          <w:p w:rsidR="00BA79A9" w:rsidRPr="00C33984" w:rsidRDefault="00BA79A9" w:rsidP="00BA79A9">
            <w:pPr>
              <w:numPr>
                <w:ilvl w:val="0"/>
                <w:numId w:val="1"/>
              </w:numPr>
              <w:tabs>
                <w:tab w:val="clear" w:pos="720"/>
              </w:tabs>
              <w:spacing w:before="30" w:after="30"/>
              <w:ind w:left="738" w:hanging="284"/>
              <w:jc w:val="both"/>
              <w:rPr>
                <w:rFonts w:ascii="Times New Roman" w:hAnsi="Times New Roman" w:cs="Times New Roman"/>
                <w:sz w:val="24"/>
                <w:szCs w:val="24"/>
              </w:rPr>
            </w:pPr>
            <w:r w:rsidRPr="00C33984">
              <w:rPr>
                <w:rFonts w:ascii="Times New Roman" w:hAnsi="Times New Roman" w:cs="Times New Roman"/>
                <w:sz w:val="24"/>
                <w:szCs w:val="24"/>
              </w:rPr>
              <w:t>Projenin b</w:t>
            </w:r>
            <w:r>
              <w:rPr>
                <w:rFonts w:ascii="Times New Roman" w:hAnsi="Times New Roman" w:cs="Times New Roman"/>
                <w:sz w:val="24"/>
                <w:szCs w:val="24"/>
              </w:rPr>
              <w:t>irden çok öncelik ile doğrudan ilişkili ve sonuç odaklı</w:t>
            </w:r>
            <w:r w:rsidRPr="00C33984">
              <w:rPr>
                <w:rFonts w:ascii="Times New Roman" w:hAnsi="Times New Roman" w:cs="Times New Roman"/>
                <w:sz w:val="24"/>
                <w:szCs w:val="24"/>
              </w:rPr>
              <w:t xml:space="preserve"> olması</w:t>
            </w:r>
          </w:p>
          <w:p w:rsidR="00BA79A9" w:rsidRDefault="00BA79A9" w:rsidP="00BA79A9">
            <w:pPr>
              <w:numPr>
                <w:ilvl w:val="0"/>
                <w:numId w:val="1"/>
              </w:numPr>
              <w:tabs>
                <w:tab w:val="clear" w:pos="720"/>
              </w:tabs>
              <w:spacing w:before="30" w:after="30"/>
              <w:ind w:left="738" w:hanging="284"/>
              <w:jc w:val="both"/>
              <w:rPr>
                <w:rFonts w:ascii="Times New Roman" w:hAnsi="Times New Roman" w:cs="Times New Roman"/>
                <w:sz w:val="24"/>
                <w:szCs w:val="24"/>
              </w:rPr>
            </w:pPr>
            <w:r w:rsidRPr="00C33984">
              <w:rPr>
                <w:rFonts w:ascii="Times New Roman" w:hAnsi="Times New Roman" w:cs="Times New Roman"/>
                <w:sz w:val="24"/>
                <w:szCs w:val="24"/>
              </w:rPr>
              <w:t>Projenin uygulanacağı ilin/ilçenin sosyal sorununa özgün ya da değerleri ile ilişkili olması (proje her ilde, ilçede uygulanabilecek genel, bilindik veya sıradan bir sosyal temaya sahip olmamalıdır.</w:t>
            </w:r>
            <w:r>
              <w:rPr>
                <w:rFonts w:ascii="Times New Roman" w:hAnsi="Times New Roman" w:cs="Times New Roman"/>
                <w:sz w:val="24"/>
                <w:szCs w:val="24"/>
              </w:rPr>
              <w:t>)</w:t>
            </w:r>
          </w:p>
          <w:p w:rsidR="00BA79A9" w:rsidRDefault="00BA79A9" w:rsidP="00BA79A9">
            <w:pPr>
              <w:numPr>
                <w:ilvl w:val="0"/>
                <w:numId w:val="1"/>
              </w:numPr>
              <w:tabs>
                <w:tab w:val="clear" w:pos="720"/>
              </w:tabs>
              <w:spacing w:before="30" w:after="30"/>
              <w:ind w:left="738" w:hanging="284"/>
              <w:jc w:val="both"/>
              <w:rPr>
                <w:rFonts w:ascii="Times New Roman" w:hAnsi="Times New Roman" w:cs="Times New Roman"/>
                <w:sz w:val="24"/>
                <w:szCs w:val="24"/>
              </w:rPr>
            </w:pPr>
            <w:r>
              <w:rPr>
                <w:rFonts w:ascii="Times New Roman" w:hAnsi="Times New Roman" w:cs="Times New Roman"/>
                <w:sz w:val="24"/>
                <w:szCs w:val="24"/>
              </w:rPr>
              <w:t>Projenin konu itibarıyla çarpıcı olması, yenilikçi ve model olma niteliğine sahip olması ve uygulama süresi içerisinde doğrudan hedef kitleye fayda sağlayan somut çıktılara sahip olması</w:t>
            </w:r>
          </w:p>
          <w:p w:rsidR="00BA79A9" w:rsidRPr="004A30EF" w:rsidRDefault="00BA79A9" w:rsidP="00ED4DCD">
            <w:pPr>
              <w:numPr>
                <w:ilvl w:val="0"/>
                <w:numId w:val="1"/>
              </w:numPr>
              <w:tabs>
                <w:tab w:val="clear" w:pos="720"/>
              </w:tabs>
              <w:spacing w:before="30" w:after="30"/>
              <w:ind w:left="738" w:hanging="284"/>
              <w:jc w:val="both"/>
              <w:rPr>
                <w:rFonts w:ascii="Times New Roman" w:hAnsi="Times New Roman" w:cs="Times New Roman"/>
                <w:sz w:val="24"/>
                <w:szCs w:val="24"/>
              </w:rPr>
            </w:pPr>
            <w:r w:rsidRPr="004A30EF">
              <w:rPr>
                <w:rFonts w:ascii="Times New Roman" w:hAnsi="Times New Roman" w:cs="Times New Roman"/>
                <w:sz w:val="24"/>
                <w:szCs w:val="24"/>
              </w:rPr>
              <w:t>Temel sosyal hizmet sunumuna</w:t>
            </w:r>
            <w:r>
              <w:rPr>
                <w:rFonts w:ascii="Times New Roman" w:hAnsi="Times New Roman" w:cs="Times New Roman"/>
                <w:sz w:val="24"/>
                <w:szCs w:val="24"/>
              </w:rPr>
              <w:t xml:space="preserve"> yönelik projeler, </w:t>
            </w:r>
            <w:r w:rsidRPr="004A30EF">
              <w:rPr>
                <w:rFonts w:ascii="Times New Roman" w:hAnsi="Times New Roman" w:cs="Times New Roman"/>
                <w:sz w:val="24"/>
                <w:szCs w:val="24"/>
              </w:rPr>
              <w:t>sosyal yardım ve nakdi sosyal transfer mahiyetindeki unsurlar içeren projeler, sadece kısa süreli eğitim verilmesine odaklanan projeler</w:t>
            </w:r>
            <w:r>
              <w:rPr>
                <w:rFonts w:ascii="Times New Roman" w:hAnsi="Times New Roman" w:cs="Times New Roman"/>
                <w:sz w:val="24"/>
                <w:szCs w:val="24"/>
              </w:rPr>
              <w:t>, y</w:t>
            </w:r>
            <w:r w:rsidRPr="004A30EF">
              <w:rPr>
                <w:rFonts w:ascii="Times New Roman" w:hAnsi="Times New Roman" w:cs="Times New Roman"/>
                <w:sz w:val="24"/>
                <w:szCs w:val="24"/>
              </w:rPr>
              <w:t>urtdışı gezi ile yurtdışı seminer, konferans, eğitim vb. faaliyetleri içeren projeler</w:t>
            </w:r>
            <w:r>
              <w:rPr>
                <w:rFonts w:ascii="Times New Roman" w:hAnsi="Times New Roman" w:cs="Times New Roman"/>
                <w:sz w:val="24"/>
                <w:szCs w:val="24"/>
              </w:rPr>
              <w:t xml:space="preserve"> ve sosyal sorunların tespiti ile</w:t>
            </w:r>
            <w:r w:rsidRPr="000F76AC">
              <w:rPr>
                <w:rFonts w:ascii="Times New Roman" w:hAnsi="Times New Roman" w:cs="Times New Roman"/>
                <w:sz w:val="24"/>
                <w:szCs w:val="24"/>
              </w:rPr>
              <w:t xml:space="preserve"> bu sorunların çözümüne ilişkin sosyal araştırma, analiz ve raporlama faaliyetleriyle sınırlı projeler</w:t>
            </w:r>
            <w:r w:rsidRPr="004A30EF">
              <w:rPr>
                <w:rFonts w:ascii="Times New Roman" w:hAnsi="Times New Roman" w:cs="Times New Roman"/>
                <w:sz w:val="24"/>
                <w:szCs w:val="24"/>
              </w:rPr>
              <w:t xml:space="preserve"> uygun değildir.</w:t>
            </w:r>
          </w:p>
        </w:tc>
      </w:tr>
    </w:tbl>
    <w:p w:rsidR="00BA79A9" w:rsidRPr="00063319" w:rsidRDefault="00BA79A9" w:rsidP="00BA79A9">
      <w:pPr>
        <w:spacing w:before="240" w:after="120" w:line="240" w:lineRule="auto"/>
        <w:jc w:val="both"/>
        <w:rPr>
          <w:rFonts w:ascii="Times New Roman" w:hAnsi="Times New Roman" w:cs="Times New Roman"/>
          <w:b/>
          <w:sz w:val="24"/>
          <w:szCs w:val="24"/>
        </w:rPr>
      </w:pPr>
      <w:r w:rsidRPr="00063319">
        <w:rPr>
          <w:rFonts w:ascii="Times New Roman" w:hAnsi="Times New Roman" w:cs="Times New Roman"/>
          <w:b/>
          <w:sz w:val="24"/>
          <w:szCs w:val="24"/>
        </w:rPr>
        <w:lastRenderedPageBreak/>
        <w:t xml:space="preserve">3) </w:t>
      </w:r>
      <w:r>
        <w:rPr>
          <w:rFonts w:ascii="Times New Roman" w:hAnsi="Times New Roman" w:cs="Times New Roman"/>
          <w:b/>
          <w:sz w:val="24"/>
          <w:szCs w:val="24"/>
        </w:rPr>
        <w:t>KİMLER PROJE SUNABİLİR?</w:t>
      </w:r>
    </w:p>
    <w:p w:rsidR="00BA79A9" w:rsidRDefault="00BA79A9" w:rsidP="00BA79A9">
      <w:pPr>
        <w:spacing w:before="60" w:after="60" w:line="240" w:lineRule="auto"/>
        <w:jc w:val="both"/>
        <w:rPr>
          <w:rFonts w:ascii="Times New Roman" w:hAnsi="Times New Roman" w:cs="Times New Roman"/>
          <w:sz w:val="24"/>
          <w:szCs w:val="24"/>
        </w:rPr>
      </w:pPr>
      <w:r w:rsidRPr="00C14331">
        <w:rPr>
          <w:rFonts w:ascii="Times New Roman" w:hAnsi="Times New Roman" w:cs="Times New Roman"/>
          <w:sz w:val="24"/>
          <w:szCs w:val="24"/>
        </w:rPr>
        <w:t xml:space="preserve">Kâr amacı gütmeyen veya belirli ölçüde kamu yararı gözeten,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w:t>
      </w:r>
      <w:r>
        <w:rPr>
          <w:rFonts w:ascii="Times New Roman" w:hAnsi="Times New Roman" w:cs="Times New Roman"/>
          <w:sz w:val="24"/>
          <w:szCs w:val="24"/>
        </w:rPr>
        <w:t xml:space="preserve">(öncelik 4) için özel kesim kuruluşları bu program kapsamında </w:t>
      </w:r>
      <w:r w:rsidRPr="00C33984">
        <w:rPr>
          <w:rFonts w:ascii="Times New Roman" w:hAnsi="Times New Roman" w:cs="Times New Roman"/>
          <w:b/>
          <w:sz w:val="24"/>
          <w:szCs w:val="24"/>
        </w:rPr>
        <w:t>başvuru sahibi</w:t>
      </w:r>
      <w:r>
        <w:rPr>
          <w:rFonts w:ascii="Times New Roman" w:hAnsi="Times New Roman" w:cs="Times New Roman"/>
          <w:sz w:val="24"/>
          <w:szCs w:val="24"/>
        </w:rPr>
        <w:t xml:space="preserve"> ve </w:t>
      </w:r>
      <w:r w:rsidRPr="00C33984">
        <w:rPr>
          <w:rFonts w:ascii="Times New Roman" w:hAnsi="Times New Roman" w:cs="Times New Roman"/>
          <w:b/>
          <w:sz w:val="24"/>
          <w:szCs w:val="24"/>
        </w:rPr>
        <w:t>proje ortağı</w:t>
      </w:r>
      <w:r>
        <w:rPr>
          <w:rFonts w:ascii="Times New Roman" w:hAnsi="Times New Roman" w:cs="Times New Roman"/>
          <w:sz w:val="24"/>
          <w:szCs w:val="24"/>
        </w:rPr>
        <w:t xml:space="preserve"> olabilir. Siyasi partiler ve alt birimleri dışındaki tüm gerçek ve tüzel kişiler de proje kapsamında </w:t>
      </w:r>
      <w:r w:rsidRPr="00C33984">
        <w:rPr>
          <w:rFonts w:ascii="Times New Roman" w:hAnsi="Times New Roman" w:cs="Times New Roman"/>
          <w:b/>
          <w:sz w:val="24"/>
          <w:szCs w:val="24"/>
        </w:rPr>
        <w:t xml:space="preserve">iştirakçi </w:t>
      </w:r>
      <w:r>
        <w:rPr>
          <w:rFonts w:ascii="Times New Roman" w:hAnsi="Times New Roman" w:cs="Times New Roman"/>
          <w:sz w:val="24"/>
          <w:szCs w:val="24"/>
        </w:rPr>
        <w:t>olarak yer alabilir.</w:t>
      </w:r>
    </w:p>
    <w:tbl>
      <w:tblPr>
        <w:tblStyle w:val="TabloKlavuzu"/>
        <w:tblW w:w="10627"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10627"/>
      </w:tblGrid>
      <w:tr w:rsidR="00BA79A9" w:rsidTr="00F40BF3">
        <w:tc>
          <w:tcPr>
            <w:tcW w:w="10627" w:type="dxa"/>
          </w:tcPr>
          <w:p w:rsidR="00BA79A9" w:rsidRPr="00BA79A9" w:rsidRDefault="00BA79A9" w:rsidP="00EB70FB">
            <w:pPr>
              <w:spacing w:before="20" w:after="20"/>
              <w:jc w:val="both"/>
              <w:rPr>
                <w:rFonts w:ascii="Times New Roman" w:hAnsi="Times New Roman" w:cs="Times New Roman"/>
                <w:b/>
                <w:sz w:val="24"/>
                <w:szCs w:val="24"/>
              </w:rPr>
            </w:pPr>
            <w:r w:rsidRPr="00BA79A9">
              <w:rPr>
                <w:rFonts w:ascii="Times New Roman" w:hAnsi="Times New Roman" w:cs="Times New Roman"/>
                <w:b/>
                <w:sz w:val="24"/>
                <w:szCs w:val="24"/>
              </w:rPr>
              <w:t>DİKKAT</w:t>
            </w:r>
          </w:p>
          <w:p w:rsidR="00BA79A9" w:rsidRPr="00BA79A9" w:rsidRDefault="00BA79A9" w:rsidP="00BA79A9">
            <w:pPr>
              <w:pStyle w:val="ListeParagraf"/>
              <w:numPr>
                <w:ilvl w:val="0"/>
                <w:numId w:val="2"/>
              </w:numPr>
              <w:spacing w:before="20" w:after="20"/>
              <w:contextualSpacing w:val="0"/>
              <w:jc w:val="both"/>
              <w:rPr>
                <w:rFonts w:ascii="Times New Roman" w:hAnsi="Times New Roman" w:cs="Times New Roman"/>
                <w:sz w:val="24"/>
                <w:szCs w:val="24"/>
              </w:rPr>
            </w:pPr>
            <w:r w:rsidRPr="00BA79A9">
              <w:rPr>
                <w:rFonts w:ascii="Times New Roman" w:hAnsi="Times New Roman" w:cs="Times New Roman"/>
                <w:sz w:val="24"/>
                <w:szCs w:val="24"/>
              </w:rPr>
              <w:t>Özel sektör sadece öncelik 4 kapsamında başvuru sahibi olarak proje sunabilir. Özel sektör tarafından sunulan s</w:t>
            </w:r>
            <w:r w:rsidRPr="00BA79A9">
              <w:rPr>
                <w:rFonts w:ascii="Times New Roman" w:hAnsi="Times New Roman" w:cs="Times New Roman"/>
                <w:b/>
                <w:sz w:val="24"/>
                <w:szCs w:val="24"/>
              </w:rPr>
              <w:t xml:space="preserve">osyal sorumluluk projelerine değerlendirmede avantaj sağlanacaktır. </w:t>
            </w:r>
          </w:p>
          <w:p w:rsidR="00BA79A9" w:rsidRPr="00BA79A9" w:rsidRDefault="00BA79A9" w:rsidP="00BA79A9">
            <w:pPr>
              <w:pStyle w:val="ListeParagraf"/>
              <w:numPr>
                <w:ilvl w:val="0"/>
                <w:numId w:val="2"/>
              </w:numPr>
              <w:spacing w:before="20" w:after="20"/>
              <w:contextualSpacing w:val="0"/>
              <w:jc w:val="both"/>
              <w:rPr>
                <w:rFonts w:ascii="Times New Roman" w:hAnsi="Times New Roman" w:cs="Times New Roman"/>
                <w:sz w:val="24"/>
                <w:szCs w:val="24"/>
              </w:rPr>
            </w:pPr>
            <w:r w:rsidRPr="00BA79A9">
              <w:rPr>
                <w:rFonts w:ascii="Times New Roman" w:hAnsi="Times New Roman" w:cs="Times New Roman"/>
                <w:sz w:val="24"/>
                <w:szCs w:val="24"/>
              </w:rPr>
              <w:t xml:space="preserve">Proje konusu ile ilgili önemli kurum/kuruluşları içeren, bunların projeye ortak ya da iştirakçi olarak aktif katılımını öngören, somut işbirliğine dayanan bir paydaş yapısının oluşturulması yerel sahiplenmeyi göstermek ve projenin uygulanabilirliğini artırmak adına son derece önemlidir. </w:t>
            </w:r>
          </w:p>
        </w:tc>
      </w:tr>
    </w:tbl>
    <w:p w:rsidR="00BA79A9" w:rsidRPr="00063319" w:rsidRDefault="00BA79A9" w:rsidP="00BA79A9">
      <w:pPr>
        <w:spacing w:before="240" w:after="120" w:line="240" w:lineRule="auto"/>
        <w:jc w:val="both"/>
        <w:rPr>
          <w:rFonts w:ascii="Times New Roman" w:hAnsi="Times New Roman" w:cs="Times New Roman"/>
          <w:b/>
          <w:sz w:val="24"/>
          <w:szCs w:val="24"/>
        </w:rPr>
      </w:pPr>
      <w:r w:rsidRPr="00063319">
        <w:rPr>
          <w:rFonts w:ascii="Times New Roman" w:hAnsi="Times New Roman" w:cs="Times New Roman"/>
          <w:b/>
          <w:sz w:val="24"/>
          <w:szCs w:val="24"/>
        </w:rPr>
        <w:t xml:space="preserve">4) </w:t>
      </w:r>
      <w:r>
        <w:rPr>
          <w:rFonts w:ascii="Times New Roman" w:hAnsi="Times New Roman" w:cs="Times New Roman"/>
          <w:b/>
          <w:sz w:val="24"/>
          <w:szCs w:val="24"/>
        </w:rPr>
        <w:t>PROGRAM BÜTÇESİ VE PROJE BAŞINA DESTEK LİMİTLERİ NEDİR?</w:t>
      </w:r>
      <w:r w:rsidRPr="00063319">
        <w:rPr>
          <w:rFonts w:ascii="Times New Roman" w:hAnsi="Times New Roman" w:cs="Times New Roman"/>
          <w:b/>
          <w:sz w:val="24"/>
          <w:szCs w:val="24"/>
        </w:rPr>
        <w:t xml:space="preserve"> </w:t>
      </w:r>
    </w:p>
    <w:p w:rsidR="00BA79A9" w:rsidRDefault="00BA79A9" w:rsidP="00BA79A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için 2021 yılında ülke genelinde ayrılan toplam mali kaynak tutarı 166 Milyon TL civarındadır. Proje başına destek limitleri aşağıdaki tabloda yer almaktadır.</w:t>
      </w:r>
    </w:p>
    <w:tbl>
      <w:tblPr>
        <w:tblStyle w:val="TabloKlavuzu"/>
        <w:tblW w:w="10627" w:type="dxa"/>
        <w:tblCellMar>
          <w:left w:w="85" w:type="dxa"/>
          <w:right w:w="85" w:type="dxa"/>
        </w:tblCellMar>
        <w:tblLook w:val="04A0" w:firstRow="1" w:lastRow="0" w:firstColumn="1" w:lastColumn="0" w:noHBand="0" w:noVBand="1"/>
      </w:tblPr>
      <w:tblGrid>
        <w:gridCol w:w="2547"/>
        <w:gridCol w:w="1843"/>
        <w:gridCol w:w="1842"/>
        <w:gridCol w:w="2127"/>
        <w:gridCol w:w="2268"/>
      </w:tblGrid>
      <w:tr w:rsidR="00BA79A9" w:rsidTr="00F40BF3">
        <w:tc>
          <w:tcPr>
            <w:tcW w:w="2547" w:type="dxa"/>
            <w:vMerge w:val="restart"/>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sidRPr="004A30EF">
              <w:rPr>
                <w:rFonts w:ascii="Times New Roman" w:hAnsi="Times New Roman" w:cs="Times New Roman"/>
                <w:b/>
                <w:sz w:val="24"/>
                <w:szCs w:val="24"/>
              </w:rPr>
              <w:t>Destek Limitleri</w:t>
            </w:r>
          </w:p>
        </w:tc>
        <w:tc>
          <w:tcPr>
            <w:tcW w:w="3685" w:type="dxa"/>
            <w:gridSpan w:val="2"/>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sidRPr="004A30EF">
              <w:rPr>
                <w:rFonts w:ascii="Times New Roman" w:hAnsi="Times New Roman" w:cs="Times New Roman"/>
                <w:b/>
                <w:sz w:val="24"/>
                <w:szCs w:val="24"/>
              </w:rPr>
              <w:t>Kar Amacı Gütmeyen Kurumlar</w:t>
            </w:r>
          </w:p>
        </w:tc>
        <w:tc>
          <w:tcPr>
            <w:tcW w:w="4395" w:type="dxa"/>
            <w:gridSpan w:val="2"/>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sidRPr="004A30EF">
              <w:rPr>
                <w:rFonts w:ascii="Times New Roman" w:hAnsi="Times New Roman" w:cs="Times New Roman"/>
                <w:b/>
                <w:sz w:val="24"/>
                <w:szCs w:val="24"/>
              </w:rPr>
              <w:t>Özel Sektör</w:t>
            </w:r>
          </w:p>
        </w:tc>
      </w:tr>
      <w:tr w:rsidR="00BA79A9" w:rsidTr="00F40BF3">
        <w:tc>
          <w:tcPr>
            <w:tcW w:w="2547" w:type="dxa"/>
            <w:vMerge/>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p>
        </w:tc>
        <w:tc>
          <w:tcPr>
            <w:tcW w:w="1843" w:type="dxa"/>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Pr>
                <w:rFonts w:ascii="Times New Roman" w:hAnsi="Times New Roman" w:cs="Times New Roman"/>
                <w:b/>
                <w:sz w:val="24"/>
                <w:szCs w:val="24"/>
              </w:rPr>
              <w:t>Asgari</w:t>
            </w:r>
          </w:p>
        </w:tc>
        <w:tc>
          <w:tcPr>
            <w:tcW w:w="1842" w:type="dxa"/>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Pr>
                <w:rFonts w:ascii="Times New Roman" w:hAnsi="Times New Roman" w:cs="Times New Roman"/>
                <w:b/>
                <w:sz w:val="24"/>
                <w:szCs w:val="24"/>
              </w:rPr>
              <w:t>Azami</w:t>
            </w:r>
          </w:p>
        </w:tc>
        <w:tc>
          <w:tcPr>
            <w:tcW w:w="2127" w:type="dxa"/>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Pr>
                <w:rFonts w:ascii="Times New Roman" w:hAnsi="Times New Roman" w:cs="Times New Roman"/>
                <w:b/>
                <w:sz w:val="24"/>
                <w:szCs w:val="24"/>
              </w:rPr>
              <w:t>Asgari</w:t>
            </w:r>
          </w:p>
        </w:tc>
        <w:tc>
          <w:tcPr>
            <w:tcW w:w="2268" w:type="dxa"/>
            <w:shd w:val="clear" w:color="auto" w:fill="D9D9D9" w:themeFill="background1" w:themeFillShade="D9"/>
            <w:vAlign w:val="center"/>
          </w:tcPr>
          <w:p w:rsidR="00BA79A9" w:rsidRPr="004A30EF" w:rsidRDefault="00BA79A9" w:rsidP="00EB70FB">
            <w:pPr>
              <w:spacing w:before="20" w:after="20"/>
              <w:jc w:val="center"/>
              <w:rPr>
                <w:rFonts w:ascii="Times New Roman" w:hAnsi="Times New Roman" w:cs="Times New Roman"/>
                <w:b/>
                <w:sz w:val="24"/>
                <w:szCs w:val="24"/>
              </w:rPr>
            </w:pPr>
            <w:r>
              <w:rPr>
                <w:rFonts w:ascii="Times New Roman" w:hAnsi="Times New Roman" w:cs="Times New Roman"/>
                <w:b/>
                <w:sz w:val="24"/>
                <w:szCs w:val="24"/>
              </w:rPr>
              <w:t>Azami</w:t>
            </w:r>
          </w:p>
        </w:tc>
      </w:tr>
      <w:tr w:rsidR="00BA79A9" w:rsidTr="00F40BF3">
        <w:tc>
          <w:tcPr>
            <w:tcW w:w="2547" w:type="dxa"/>
            <w:vAlign w:val="center"/>
          </w:tcPr>
          <w:p w:rsidR="00BA79A9" w:rsidRPr="004A30EF" w:rsidRDefault="00BA79A9" w:rsidP="00EB70FB">
            <w:pPr>
              <w:spacing w:before="20" w:after="20"/>
              <w:jc w:val="both"/>
              <w:rPr>
                <w:rFonts w:ascii="Times New Roman" w:hAnsi="Times New Roman" w:cs="Times New Roman"/>
                <w:sz w:val="24"/>
                <w:szCs w:val="24"/>
              </w:rPr>
            </w:pPr>
            <w:r w:rsidRPr="004A30EF">
              <w:rPr>
                <w:rFonts w:ascii="Times New Roman" w:hAnsi="Times New Roman" w:cs="Times New Roman"/>
                <w:b/>
                <w:bCs/>
                <w:sz w:val="24"/>
                <w:szCs w:val="24"/>
              </w:rPr>
              <w:t>Destek Oranı (%)</w:t>
            </w:r>
          </w:p>
        </w:tc>
        <w:tc>
          <w:tcPr>
            <w:tcW w:w="1843"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c>
          <w:tcPr>
            <w:tcW w:w="1842" w:type="dxa"/>
            <w:vAlign w:val="center"/>
          </w:tcPr>
          <w:p w:rsidR="00BA79A9" w:rsidRPr="00ED09F0" w:rsidRDefault="00BA79A9" w:rsidP="00EB70FB">
            <w:pPr>
              <w:spacing w:before="20" w:after="20"/>
              <w:jc w:val="center"/>
              <w:rPr>
                <w:rFonts w:ascii="Times New Roman" w:hAnsi="Times New Roman" w:cs="Times New Roman"/>
                <w:sz w:val="24"/>
                <w:szCs w:val="24"/>
              </w:rPr>
            </w:pPr>
            <w:r w:rsidRPr="00ED09F0">
              <w:rPr>
                <w:rFonts w:ascii="Times New Roman" w:hAnsi="Times New Roman" w:cs="Times New Roman"/>
                <w:bCs/>
                <w:sz w:val="24"/>
                <w:szCs w:val="24"/>
              </w:rPr>
              <w:t>90</w:t>
            </w:r>
          </w:p>
        </w:tc>
        <w:tc>
          <w:tcPr>
            <w:tcW w:w="2127" w:type="dxa"/>
            <w:vAlign w:val="center"/>
          </w:tcPr>
          <w:p w:rsidR="00BA79A9" w:rsidRPr="00ED09F0" w:rsidRDefault="00BA79A9" w:rsidP="00EB70FB">
            <w:pPr>
              <w:spacing w:before="20" w:after="20"/>
              <w:jc w:val="center"/>
              <w:rPr>
                <w:rFonts w:ascii="Times New Roman" w:hAnsi="Times New Roman" w:cs="Times New Roman"/>
                <w:sz w:val="24"/>
                <w:szCs w:val="24"/>
              </w:rPr>
            </w:pPr>
            <w:r w:rsidRPr="00ED09F0">
              <w:rPr>
                <w:rFonts w:ascii="Times New Roman" w:hAnsi="Times New Roman" w:cs="Times New Roman"/>
                <w:sz w:val="24"/>
                <w:szCs w:val="24"/>
              </w:rPr>
              <w:t>-</w:t>
            </w:r>
          </w:p>
        </w:tc>
        <w:tc>
          <w:tcPr>
            <w:tcW w:w="2268" w:type="dxa"/>
            <w:vAlign w:val="center"/>
          </w:tcPr>
          <w:p w:rsidR="00BA79A9" w:rsidRPr="00ED09F0" w:rsidRDefault="00BA79A9" w:rsidP="00EB70FB">
            <w:pPr>
              <w:spacing w:before="20" w:after="20"/>
              <w:jc w:val="center"/>
              <w:rPr>
                <w:rFonts w:ascii="Times New Roman" w:hAnsi="Times New Roman" w:cs="Times New Roman"/>
                <w:sz w:val="24"/>
                <w:szCs w:val="24"/>
              </w:rPr>
            </w:pPr>
            <w:r w:rsidRPr="00ED09F0">
              <w:rPr>
                <w:rFonts w:ascii="Times New Roman" w:hAnsi="Times New Roman" w:cs="Times New Roman"/>
                <w:bCs/>
                <w:sz w:val="24"/>
                <w:szCs w:val="24"/>
              </w:rPr>
              <w:t>50</w:t>
            </w:r>
          </w:p>
        </w:tc>
      </w:tr>
      <w:tr w:rsidR="00BA79A9" w:rsidTr="00F40BF3">
        <w:tc>
          <w:tcPr>
            <w:tcW w:w="2547" w:type="dxa"/>
            <w:vAlign w:val="center"/>
          </w:tcPr>
          <w:p w:rsidR="00BA79A9" w:rsidRPr="004A30EF" w:rsidRDefault="00BA79A9" w:rsidP="00EB70FB">
            <w:pPr>
              <w:spacing w:before="20" w:after="20"/>
              <w:jc w:val="both"/>
              <w:rPr>
                <w:rFonts w:ascii="Times New Roman" w:hAnsi="Times New Roman" w:cs="Times New Roman"/>
                <w:sz w:val="24"/>
                <w:szCs w:val="24"/>
              </w:rPr>
            </w:pPr>
            <w:r w:rsidRPr="004A30EF">
              <w:rPr>
                <w:rFonts w:ascii="Times New Roman" w:hAnsi="Times New Roman" w:cs="Times New Roman"/>
                <w:b/>
                <w:bCs/>
                <w:sz w:val="24"/>
                <w:szCs w:val="24"/>
              </w:rPr>
              <w:t>Destek Miktarı (TL)</w:t>
            </w:r>
          </w:p>
        </w:tc>
        <w:tc>
          <w:tcPr>
            <w:tcW w:w="1843"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900.000</w:t>
            </w:r>
          </w:p>
        </w:tc>
        <w:tc>
          <w:tcPr>
            <w:tcW w:w="1842"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c>
          <w:tcPr>
            <w:tcW w:w="2127"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500.000</w:t>
            </w:r>
          </w:p>
        </w:tc>
        <w:tc>
          <w:tcPr>
            <w:tcW w:w="2268"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r>
      <w:tr w:rsidR="00BA79A9" w:rsidTr="00F40BF3">
        <w:tc>
          <w:tcPr>
            <w:tcW w:w="2547" w:type="dxa"/>
            <w:vAlign w:val="center"/>
          </w:tcPr>
          <w:p w:rsidR="00BA79A9" w:rsidRPr="004A30EF" w:rsidRDefault="00BA79A9" w:rsidP="00EB70FB">
            <w:pPr>
              <w:spacing w:before="20" w:after="20"/>
              <w:jc w:val="both"/>
              <w:rPr>
                <w:rFonts w:ascii="Times New Roman" w:hAnsi="Times New Roman" w:cs="Times New Roman"/>
                <w:sz w:val="24"/>
                <w:szCs w:val="24"/>
              </w:rPr>
            </w:pPr>
            <w:r w:rsidRPr="004A30EF">
              <w:rPr>
                <w:rFonts w:ascii="Times New Roman" w:hAnsi="Times New Roman" w:cs="Times New Roman"/>
                <w:b/>
                <w:bCs/>
                <w:sz w:val="24"/>
                <w:szCs w:val="24"/>
              </w:rPr>
              <w:t>Eş Finansman (TL)</w:t>
            </w:r>
          </w:p>
        </w:tc>
        <w:tc>
          <w:tcPr>
            <w:tcW w:w="1843"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100.000</w:t>
            </w:r>
          </w:p>
        </w:tc>
        <w:tc>
          <w:tcPr>
            <w:tcW w:w="1842"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c>
          <w:tcPr>
            <w:tcW w:w="2127"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500.000</w:t>
            </w:r>
          </w:p>
        </w:tc>
        <w:tc>
          <w:tcPr>
            <w:tcW w:w="2268"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r>
      <w:tr w:rsidR="00BA79A9" w:rsidTr="00F40BF3">
        <w:tc>
          <w:tcPr>
            <w:tcW w:w="2547" w:type="dxa"/>
            <w:vAlign w:val="center"/>
          </w:tcPr>
          <w:p w:rsidR="00BA79A9" w:rsidRPr="004A30EF" w:rsidRDefault="00BA79A9" w:rsidP="00EB70FB">
            <w:pPr>
              <w:spacing w:before="20" w:after="20"/>
              <w:jc w:val="both"/>
              <w:rPr>
                <w:rFonts w:ascii="Times New Roman" w:hAnsi="Times New Roman" w:cs="Times New Roman"/>
                <w:sz w:val="24"/>
                <w:szCs w:val="24"/>
              </w:rPr>
            </w:pPr>
            <w:r w:rsidRPr="004A30EF">
              <w:rPr>
                <w:rFonts w:ascii="Times New Roman" w:hAnsi="Times New Roman" w:cs="Times New Roman"/>
                <w:b/>
                <w:bCs/>
                <w:sz w:val="24"/>
                <w:szCs w:val="24"/>
              </w:rPr>
              <w:t>Proje Bütçesi (TL)</w:t>
            </w:r>
          </w:p>
        </w:tc>
        <w:tc>
          <w:tcPr>
            <w:tcW w:w="1843" w:type="dxa"/>
            <w:vAlign w:val="center"/>
          </w:tcPr>
          <w:p w:rsidR="00BA79A9" w:rsidRPr="00ED09F0" w:rsidRDefault="00BA79A9" w:rsidP="00EB70FB">
            <w:pPr>
              <w:spacing w:before="20" w:after="20"/>
              <w:jc w:val="center"/>
              <w:rPr>
                <w:rFonts w:ascii="Times New Roman" w:hAnsi="Times New Roman" w:cs="Times New Roman"/>
                <w:sz w:val="24"/>
                <w:szCs w:val="24"/>
              </w:rPr>
            </w:pPr>
            <w:r w:rsidRPr="00ED09F0">
              <w:rPr>
                <w:rFonts w:ascii="Times New Roman" w:hAnsi="Times New Roman" w:cs="Times New Roman"/>
                <w:bCs/>
                <w:sz w:val="24"/>
                <w:szCs w:val="24"/>
              </w:rPr>
              <w:t>1.000.000</w:t>
            </w:r>
          </w:p>
        </w:tc>
        <w:tc>
          <w:tcPr>
            <w:tcW w:w="1842"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c>
          <w:tcPr>
            <w:tcW w:w="2127"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1.000.000</w:t>
            </w:r>
          </w:p>
        </w:tc>
        <w:tc>
          <w:tcPr>
            <w:tcW w:w="2268" w:type="dxa"/>
            <w:vAlign w:val="center"/>
          </w:tcPr>
          <w:p w:rsidR="00BA79A9" w:rsidRPr="004A30EF" w:rsidRDefault="00BA79A9" w:rsidP="00EB70FB">
            <w:pPr>
              <w:spacing w:before="20" w:after="20"/>
              <w:jc w:val="center"/>
              <w:rPr>
                <w:rFonts w:ascii="Times New Roman" w:hAnsi="Times New Roman" w:cs="Times New Roman"/>
                <w:sz w:val="24"/>
                <w:szCs w:val="24"/>
              </w:rPr>
            </w:pPr>
            <w:r w:rsidRPr="004A30EF">
              <w:rPr>
                <w:rFonts w:ascii="Times New Roman" w:hAnsi="Times New Roman" w:cs="Times New Roman"/>
                <w:sz w:val="24"/>
                <w:szCs w:val="24"/>
              </w:rPr>
              <w:t>-</w:t>
            </w:r>
          </w:p>
        </w:tc>
      </w:tr>
    </w:tbl>
    <w:p w:rsidR="00BA79A9" w:rsidRPr="004A30EF" w:rsidRDefault="00BA79A9" w:rsidP="00BA79A9">
      <w:pPr>
        <w:spacing w:before="20" w:after="20" w:line="240" w:lineRule="auto"/>
        <w:jc w:val="both"/>
        <w:rPr>
          <w:rFonts w:ascii="Times New Roman" w:hAnsi="Times New Roman" w:cs="Times New Roman"/>
          <w:sz w:val="12"/>
          <w:szCs w:val="12"/>
        </w:rPr>
      </w:pPr>
    </w:p>
    <w:tbl>
      <w:tblPr>
        <w:tblStyle w:val="TabloKlavuzu"/>
        <w:tblW w:w="10627"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10627"/>
      </w:tblGrid>
      <w:tr w:rsidR="00BA79A9" w:rsidTr="00F40BF3">
        <w:tc>
          <w:tcPr>
            <w:tcW w:w="10627" w:type="dxa"/>
          </w:tcPr>
          <w:p w:rsidR="00BA79A9" w:rsidRPr="00BA79A9" w:rsidRDefault="00BA79A9" w:rsidP="00EB70FB">
            <w:pPr>
              <w:spacing w:before="20" w:after="20"/>
              <w:jc w:val="both"/>
              <w:rPr>
                <w:rFonts w:ascii="Times New Roman" w:hAnsi="Times New Roman" w:cs="Times New Roman"/>
                <w:b/>
                <w:sz w:val="24"/>
                <w:szCs w:val="24"/>
              </w:rPr>
            </w:pPr>
            <w:r w:rsidRPr="00BA79A9">
              <w:rPr>
                <w:rFonts w:ascii="Times New Roman" w:hAnsi="Times New Roman" w:cs="Times New Roman"/>
                <w:b/>
                <w:sz w:val="24"/>
                <w:szCs w:val="24"/>
              </w:rPr>
              <w:t>DİKKAT</w:t>
            </w:r>
          </w:p>
          <w:p w:rsidR="00BA79A9" w:rsidRPr="00F13DD1" w:rsidRDefault="00BA79A9" w:rsidP="00BA79A9">
            <w:pPr>
              <w:pStyle w:val="ListeParagraf"/>
              <w:numPr>
                <w:ilvl w:val="0"/>
                <w:numId w:val="3"/>
              </w:numPr>
              <w:spacing w:before="20" w:after="20"/>
              <w:contextualSpacing w:val="0"/>
              <w:jc w:val="both"/>
              <w:rPr>
                <w:rFonts w:ascii="Times New Roman" w:hAnsi="Times New Roman" w:cs="Times New Roman"/>
                <w:sz w:val="24"/>
                <w:szCs w:val="24"/>
              </w:rPr>
            </w:pPr>
            <w:r>
              <w:rPr>
                <w:rFonts w:ascii="Times New Roman" w:hAnsi="Times New Roman" w:cs="Times New Roman"/>
                <w:sz w:val="24"/>
                <w:szCs w:val="24"/>
              </w:rPr>
              <w:t xml:space="preserve">Asgari proje bütçesi 1 Milyon TL olup </w:t>
            </w:r>
            <w:r w:rsidRPr="00F13DD1">
              <w:rPr>
                <w:rFonts w:ascii="Times New Roman" w:hAnsi="Times New Roman" w:cs="Times New Roman"/>
                <w:sz w:val="24"/>
                <w:szCs w:val="24"/>
              </w:rPr>
              <w:t>destek miktarı ve bütçe için üst limit belirlenmemiş</w:t>
            </w:r>
            <w:r>
              <w:rPr>
                <w:rFonts w:ascii="Times New Roman" w:hAnsi="Times New Roman" w:cs="Times New Roman"/>
                <w:sz w:val="24"/>
                <w:szCs w:val="24"/>
              </w:rPr>
              <w:t>tir. P</w:t>
            </w:r>
            <w:r w:rsidRPr="00F13DD1">
              <w:rPr>
                <w:rFonts w:ascii="Times New Roman" w:hAnsi="Times New Roman" w:cs="Times New Roman"/>
                <w:sz w:val="24"/>
                <w:szCs w:val="24"/>
              </w:rPr>
              <w:t xml:space="preserve">rojelerin en az </w:t>
            </w:r>
            <w:proofErr w:type="gramStart"/>
            <w:r w:rsidRPr="00F13DD1">
              <w:rPr>
                <w:rFonts w:ascii="Times New Roman" w:hAnsi="Times New Roman" w:cs="Times New Roman"/>
                <w:sz w:val="24"/>
                <w:szCs w:val="24"/>
              </w:rPr>
              <w:t>1.1</w:t>
            </w:r>
            <w:proofErr w:type="gramEnd"/>
            <w:r w:rsidRPr="00F13DD1">
              <w:rPr>
                <w:rFonts w:ascii="Times New Roman" w:hAnsi="Times New Roman" w:cs="Times New Roman"/>
                <w:sz w:val="24"/>
                <w:szCs w:val="24"/>
              </w:rPr>
              <w:t xml:space="preserve"> Milyon TL en fazla 3 Milyon TL bütçeye sahip olacak şekilde hazırlanması tavsiye edilir.</w:t>
            </w:r>
          </w:p>
          <w:p w:rsidR="00BA79A9" w:rsidRPr="00F13DD1" w:rsidRDefault="00BA79A9" w:rsidP="00BA79A9">
            <w:pPr>
              <w:pStyle w:val="ListeParagraf"/>
              <w:numPr>
                <w:ilvl w:val="0"/>
                <w:numId w:val="3"/>
              </w:numPr>
              <w:spacing w:before="20" w:after="20"/>
              <w:contextualSpacing w:val="0"/>
              <w:jc w:val="both"/>
              <w:rPr>
                <w:rFonts w:ascii="Times New Roman" w:hAnsi="Times New Roman" w:cs="Times New Roman"/>
                <w:sz w:val="24"/>
                <w:szCs w:val="24"/>
              </w:rPr>
            </w:pPr>
            <w:r w:rsidRPr="00F13DD1">
              <w:rPr>
                <w:rFonts w:ascii="Times New Roman" w:hAnsi="Times New Roman" w:cs="Times New Roman"/>
                <w:sz w:val="24"/>
                <w:szCs w:val="24"/>
              </w:rPr>
              <w:t>Eş finansman</w:t>
            </w:r>
            <w:r>
              <w:rPr>
                <w:rFonts w:ascii="Times New Roman" w:hAnsi="Times New Roman" w:cs="Times New Roman"/>
                <w:sz w:val="24"/>
                <w:szCs w:val="24"/>
              </w:rPr>
              <w:t>ın nakdi olarak karşılanması esastır</w:t>
            </w:r>
            <w:r w:rsidRPr="00F13DD1">
              <w:rPr>
                <w:rFonts w:ascii="Times New Roman" w:hAnsi="Times New Roman" w:cs="Times New Roman"/>
                <w:sz w:val="24"/>
                <w:szCs w:val="24"/>
              </w:rPr>
              <w:t>. İstisnai durumlar ve çok özel nitelikli projeler haricinde kamu personelinin maaşı eş finansman olarak sayılmayacaktır.</w:t>
            </w:r>
          </w:p>
          <w:p w:rsidR="00BA79A9" w:rsidRPr="00F13DD1" w:rsidRDefault="00BA79A9" w:rsidP="00BA79A9">
            <w:pPr>
              <w:pStyle w:val="ListeParagraf"/>
              <w:numPr>
                <w:ilvl w:val="0"/>
                <w:numId w:val="3"/>
              </w:numPr>
              <w:spacing w:before="20" w:after="20"/>
              <w:contextualSpacing w:val="0"/>
              <w:jc w:val="both"/>
              <w:rPr>
                <w:rFonts w:ascii="Times New Roman" w:hAnsi="Times New Roman" w:cs="Times New Roman"/>
                <w:sz w:val="24"/>
                <w:szCs w:val="24"/>
              </w:rPr>
            </w:pPr>
            <w:r w:rsidRPr="00F13DD1">
              <w:rPr>
                <w:rFonts w:ascii="Times New Roman" w:hAnsi="Times New Roman" w:cs="Times New Roman"/>
                <w:sz w:val="24"/>
                <w:szCs w:val="24"/>
              </w:rPr>
              <w:t>Eş finansmanın tamamını veya bir bölümünün özel sektör firmaları aracılığıyla karşılanması (kısmi sosyal sorumluluk) projenin kıymetini önemli ölçüde artıran bir faktör olacaktır.</w:t>
            </w:r>
          </w:p>
          <w:p w:rsidR="00BA79A9" w:rsidRPr="00F13DD1" w:rsidRDefault="00BA79A9" w:rsidP="00BA79A9">
            <w:pPr>
              <w:pStyle w:val="ListeParagraf"/>
              <w:numPr>
                <w:ilvl w:val="0"/>
                <w:numId w:val="3"/>
              </w:numPr>
              <w:spacing w:before="20" w:after="20"/>
              <w:contextualSpacing w:val="0"/>
              <w:jc w:val="both"/>
              <w:rPr>
                <w:rFonts w:ascii="Times New Roman" w:hAnsi="Times New Roman" w:cs="Times New Roman"/>
                <w:sz w:val="24"/>
                <w:szCs w:val="24"/>
              </w:rPr>
            </w:pPr>
            <w:r w:rsidRPr="00F13DD1">
              <w:rPr>
                <w:rFonts w:ascii="Times New Roman" w:hAnsi="Times New Roman" w:cs="Times New Roman"/>
                <w:sz w:val="24"/>
                <w:szCs w:val="24"/>
              </w:rPr>
              <w:t>Çok özel ve gerekli durumlar haricinde projelerde sıfırdan bir inşaat veya yapı</w:t>
            </w:r>
            <w:r>
              <w:rPr>
                <w:rFonts w:ascii="Times New Roman" w:hAnsi="Times New Roman" w:cs="Times New Roman"/>
                <w:sz w:val="24"/>
                <w:szCs w:val="24"/>
              </w:rPr>
              <w:t>m işi maliyeti bütçelenmemelidir</w:t>
            </w:r>
            <w:r w:rsidRPr="00F13DD1">
              <w:rPr>
                <w:rFonts w:ascii="Times New Roman" w:hAnsi="Times New Roman" w:cs="Times New Roman"/>
                <w:sz w:val="24"/>
                <w:szCs w:val="24"/>
              </w:rPr>
              <w:t>. Bunun yerine atıl binalar basit tadilatlar yoluyla değerlendirilmelidir. Yapım işleri maliyetinin projenin toplam bütçesinin %25’ini aşmama</w:t>
            </w:r>
            <w:r>
              <w:rPr>
                <w:rFonts w:ascii="Times New Roman" w:hAnsi="Times New Roman" w:cs="Times New Roman"/>
                <w:sz w:val="24"/>
                <w:szCs w:val="24"/>
              </w:rPr>
              <w:t>sı tavsiye edilmektedir.</w:t>
            </w:r>
          </w:p>
        </w:tc>
      </w:tr>
    </w:tbl>
    <w:p w:rsidR="00BA79A9" w:rsidRPr="00063319" w:rsidRDefault="00BA79A9" w:rsidP="00BA79A9">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063319">
        <w:rPr>
          <w:rFonts w:ascii="Times New Roman" w:hAnsi="Times New Roman" w:cs="Times New Roman"/>
          <w:b/>
          <w:sz w:val="24"/>
          <w:szCs w:val="24"/>
        </w:rPr>
        <w:t xml:space="preserve"> </w:t>
      </w:r>
      <w:r>
        <w:rPr>
          <w:rFonts w:ascii="Times New Roman" w:hAnsi="Times New Roman" w:cs="Times New Roman"/>
          <w:b/>
          <w:sz w:val="24"/>
          <w:szCs w:val="24"/>
        </w:rPr>
        <w:t>PROJE UYGULAMA SÜRESİ VE ÖNGÖRÜLEN TAKVİM NEDİR?</w:t>
      </w:r>
      <w:r w:rsidRPr="00063319">
        <w:rPr>
          <w:rFonts w:ascii="Times New Roman" w:hAnsi="Times New Roman" w:cs="Times New Roman"/>
          <w:b/>
          <w:sz w:val="24"/>
          <w:szCs w:val="24"/>
        </w:rPr>
        <w:t xml:space="preserve"> </w:t>
      </w:r>
    </w:p>
    <w:p w:rsidR="00BA79A9" w:rsidRDefault="00BA79A9" w:rsidP="00BA79A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uygulama süresi asgari 12, azami 18 ay olarak belirlenmelidir. Birinci aş</w:t>
      </w:r>
      <w:r w:rsidR="00ED4DCD">
        <w:rPr>
          <w:rFonts w:ascii="Times New Roman" w:hAnsi="Times New Roman" w:cs="Times New Roman"/>
          <w:sz w:val="24"/>
          <w:szCs w:val="24"/>
        </w:rPr>
        <w:t>ama için proje başvuru süreci 05</w:t>
      </w:r>
      <w:r>
        <w:rPr>
          <w:rFonts w:ascii="Times New Roman" w:hAnsi="Times New Roman" w:cs="Times New Roman"/>
          <w:sz w:val="24"/>
          <w:szCs w:val="24"/>
        </w:rPr>
        <w:t>.0</w:t>
      </w:r>
      <w:r w:rsidR="00ED4DCD">
        <w:rPr>
          <w:rFonts w:ascii="Times New Roman" w:hAnsi="Times New Roman" w:cs="Times New Roman"/>
          <w:sz w:val="24"/>
          <w:szCs w:val="24"/>
        </w:rPr>
        <w:t>2</w:t>
      </w:r>
      <w:r>
        <w:rPr>
          <w:rFonts w:ascii="Times New Roman" w:hAnsi="Times New Roman" w:cs="Times New Roman"/>
          <w:sz w:val="24"/>
          <w:szCs w:val="24"/>
        </w:rPr>
        <w:t>.2021 tarihinde tamamlanacak olup ikinci aşama için belirlenecek projelerin Haziran 2021 içerisinde Bakanlık onayına sunulması beklenmektedir. Proje uygulama sürecinin Eylül 2021’de başlayacağı öngörülmektedir.</w:t>
      </w:r>
    </w:p>
    <w:p w:rsidR="00BA79A9" w:rsidRPr="00063319" w:rsidRDefault="00BA79A9" w:rsidP="00BA79A9">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Pr="00063319">
        <w:rPr>
          <w:rFonts w:ascii="Times New Roman" w:hAnsi="Times New Roman" w:cs="Times New Roman"/>
          <w:b/>
          <w:sz w:val="24"/>
          <w:szCs w:val="24"/>
        </w:rPr>
        <w:t xml:space="preserve"> </w:t>
      </w:r>
      <w:r>
        <w:rPr>
          <w:rFonts w:ascii="Times New Roman" w:hAnsi="Times New Roman" w:cs="Times New Roman"/>
          <w:b/>
          <w:sz w:val="24"/>
          <w:szCs w:val="24"/>
        </w:rPr>
        <w:t>PROJE DEĞERLENDİRME SÜRECİ NASIL YÜRÜTÜLECEK?</w:t>
      </w:r>
      <w:r w:rsidRPr="00063319">
        <w:rPr>
          <w:rFonts w:ascii="Times New Roman" w:hAnsi="Times New Roman" w:cs="Times New Roman"/>
          <w:b/>
          <w:sz w:val="24"/>
          <w:szCs w:val="24"/>
        </w:rPr>
        <w:t xml:space="preserve"> </w:t>
      </w:r>
    </w:p>
    <w:p w:rsidR="00BA79A9" w:rsidRPr="00063319" w:rsidRDefault="00BA79A9" w:rsidP="00BA79A9">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Birinci aşama başvurular Ajansımız tarafından değerlendirilecek ve karara bağlanacak olup bu aşama sonrasında her il için 4 olmak üzere t</w:t>
      </w:r>
      <w:r w:rsidR="00ED4DCD">
        <w:rPr>
          <w:rFonts w:ascii="Times New Roman" w:hAnsi="Times New Roman" w:cs="Times New Roman"/>
          <w:sz w:val="24"/>
          <w:szCs w:val="24"/>
        </w:rPr>
        <w:t>oplam 8</w:t>
      </w:r>
      <w:r>
        <w:rPr>
          <w:rFonts w:ascii="Times New Roman" w:hAnsi="Times New Roman" w:cs="Times New Roman"/>
          <w:sz w:val="24"/>
          <w:szCs w:val="24"/>
        </w:rPr>
        <w:t xml:space="preserve"> proje belirlenecektir. İkinci aşamada ise bu projelere Ajansımızın koordinasyonunda nihai hali verilecek olup Bakanlık onayına sunulacaktır. Desteklenecek projelerin belirlenmesinde nihai mercii Sanayi ve Teknoloji Bakanlığı’dır.</w:t>
      </w:r>
    </w:p>
    <w:p w:rsidR="00125A35" w:rsidRDefault="00125A35"/>
    <w:sectPr w:rsidR="00125A35" w:rsidSect="00F40BF3">
      <w:headerReference w:type="even" r:id="rId7"/>
      <w:headerReference w:type="default" r:id="rId8"/>
      <w:footerReference w:type="even" r:id="rId9"/>
      <w:footerReference w:type="default" r:id="rId10"/>
      <w:headerReference w:type="first" r:id="rId11"/>
      <w:footerReference w:type="first" r:id="rId12"/>
      <w:pgSz w:w="11906" w:h="16838" w:code="9"/>
      <w:pgMar w:top="1418" w:right="424" w:bottom="567" w:left="851" w:header="42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FD" w:rsidRDefault="007406FD" w:rsidP="00BA79A9">
      <w:pPr>
        <w:spacing w:after="0" w:line="240" w:lineRule="auto"/>
      </w:pPr>
      <w:r>
        <w:separator/>
      </w:r>
    </w:p>
  </w:endnote>
  <w:endnote w:type="continuationSeparator" w:id="0">
    <w:p w:rsidR="007406FD" w:rsidRDefault="007406FD" w:rsidP="00BA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46" w:rsidRDefault="00315E4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77723617"/>
      <w:docPartObj>
        <w:docPartGallery w:val="Page Numbers (Bottom of Page)"/>
        <w:docPartUnique/>
      </w:docPartObj>
    </w:sdtPr>
    <w:sdtEndPr/>
    <w:sdtContent>
      <w:sdt>
        <w:sdtPr>
          <w:rPr>
            <w:rFonts w:ascii="Times New Roman" w:hAnsi="Times New Roman" w:cs="Times New Roman"/>
            <w:sz w:val="20"/>
            <w:szCs w:val="20"/>
          </w:rPr>
          <w:id w:val="-1069569584"/>
          <w:docPartObj>
            <w:docPartGallery w:val="Page Numbers (Top of Page)"/>
            <w:docPartUnique/>
          </w:docPartObj>
        </w:sdtPr>
        <w:sdtEndPr/>
        <w:sdtContent>
          <w:p w:rsidR="00DC514F" w:rsidRPr="00DC514F" w:rsidRDefault="00A42CAE" w:rsidP="00E10437">
            <w:pPr>
              <w:pStyle w:val="Altbilgi"/>
              <w:tabs>
                <w:tab w:val="left" w:pos="4800"/>
                <w:tab w:val="center" w:pos="5102"/>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514F">
              <w:rPr>
                <w:rFonts w:ascii="Times New Roman" w:hAnsi="Times New Roman" w:cs="Times New Roman"/>
                <w:bCs/>
                <w:sz w:val="20"/>
                <w:szCs w:val="20"/>
              </w:rPr>
              <w:fldChar w:fldCharType="begin"/>
            </w:r>
            <w:r w:rsidRPr="00DC514F">
              <w:rPr>
                <w:rFonts w:ascii="Times New Roman" w:hAnsi="Times New Roman" w:cs="Times New Roman"/>
                <w:bCs/>
                <w:sz w:val="20"/>
                <w:szCs w:val="20"/>
              </w:rPr>
              <w:instrText>PAGE</w:instrText>
            </w:r>
            <w:r w:rsidRPr="00DC514F">
              <w:rPr>
                <w:rFonts w:ascii="Times New Roman" w:hAnsi="Times New Roman" w:cs="Times New Roman"/>
                <w:bCs/>
                <w:sz w:val="20"/>
                <w:szCs w:val="20"/>
              </w:rPr>
              <w:fldChar w:fldCharType="separate"/>
            </w:r>
            <w:r w:rsidR="00315E46">
              <w:rPr>
                <w:rFonts w:ascii="Times New Roman" w:hAnsi="Times New Roman" w:cs="Times New Roman"/>
                <w:bCs/>
                <w:noProof/>
                <w:sz w:val="20"/>
                <w:szCs w:val="20"/>
              </w:rPr>
              <w:t>1</w:t>
            </w:r>
            <w:r w:rsidRPr="00DC514F">
              <w:rPr>
                <w:rFonts w:ascii="Times New Roman" w:hAnsi="Times New Roman" w:cs="Times New Roman"/>
                <w:bCs/>
                <w:sz w:val="20"/>
                <w:szCs w:val="20"/>
              </w:rPr>
              <w:fldChar w:fldCharType="end"/>
            </w:r>
            <w:r w:rsidRPr="00DC514F">
              <w:rPr>
                <w:rFonts w:ascii="Times New Roman" w:hAnsi="Times New Roman" w:cs="Times New Roman"/>
                <w:sz w:val="20"/>
                <w:szCs w:val="20"/>
              </w:rPr>
              <w:t xml:space="preserve"> / </w:t>
            </w:r>
            <w:r w:rsidRPr="00DC514F">
              <w:rPr>
                <w:rFonts w:ascii="Times New Roman" w:hAnsi="Times New Roman" w:cs="Times New Roman"/>
                <w:bCs/>
                <w:sz w:val="20"/>
                <w:szCs w:val="20"/>
              </w:rPr>
              <w:fldChar w:fldCharType="begin"/>
            </w:r>
            <w:r w:rsidRPr="00DC514F">
              <w:rPr>
                <w:rFonts w:ascii="Times New Roman" w:hAnsi="Times New Roman" w:cs="Times New Roman"/>
                <w:bCs/>
                <w:sz w:val="20"/>
                <w:szCs w:val="20"/>
              </w:rPr>
              <w:instrText>NUMPAGES</w:instrText>
            </w:r>
            <w:r w:rsidRPr="00DC514F">
              <w:rPr>
                <w:rFonts w:ascii="Times New Roman" w:hAnsi="Times New Roman" w:cs="Times New Roman"/>
                <w:bCs/>
                <w:sz w:val="20"/>
                <w:szCs w:val="20"/>
              </w:rPr>
              <w:fldChar w:fldCharType="separate"/>
            </w:r>
            <w:r w:rsidR="00315E46">
              <w:rPr>
                <w:rFonts w:ascii="Times New Roman" w:hAnsi="Times New Roman" w:cs="Times New Roman"/>
                <w:bCs/>
                <w:noProof/>
                <w:sz w:val="20"/>
                <w:szCs w:val="20"/>
              </w:rPr>
              <w:t>2</w:t>
            </w:r>
            <w:r w:rsidRPr="00DC514F">
              <w:rPr>
                <w:rFonts w:ascii="Times New Roman" w:hAnsi="Times New Roman" w:cs="Times New Roman"/>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46" w:rsidRDefault="00315E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FD" w:rsidRDefault="007406FD" w:rsidP="00BA79A9">
      <w:pPr>
        <w:spacing w:after="0" w:line="240" w:lineRule="auto"/>
      </w:pPr>
      <w:r>
        <w:separator/>
      </w:r>
    </w:p>
  </w:footnote>
  <w:footnote w:type="continuationSeparator" w:id="0">
    <w:p w:rsidR="007406FD" w:rsidRDefault="007406FD" w:rsidP="00BA7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46" w:rsidRDefault="00315E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4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3542"/>
      <w:gridCol w:w="3543"/>
    </w:tblGrid>
    <w:tr w:rsidR="000F76AC" w:rsidTr="00315E46">
      <w:tc>
        <w:tcPr>
          <w:tcW w:w="4395" w:type="dxa"/>
          <w:tcMar>
            <w:right w:w="284" w:type="dxa"/>
          </w:tcMar>
          <w:vAlign w:val="center"/>
        </w:tcPr>
        <w:p w:rsidR="000F76AC" w:rsidRDefault="00A42CAE" w:rsidP="00BA79A9">
          <w:pPr>
            <w:pStyle w:val="stbilgi"/>
            <w:ind w:left="602" w:hanging="142"/>
          </w:pPr>
          <w:r w:rsidRPr="000F76AC">
            <w:rPr>
              <w:rFonts w:ascii="Times New Roman" w:hAnsi="Times New Roman" w:cs="Times New Roman"/>
              <w:b/>
              <w:noProof/>
              <w:sz w:val="24"/>
              <w:szCs w:val="24"/>
              <w:lang w:eastAsia="tr-TR"/>
            </w:rPr>
            <w:drawing>
              <wp:inline distT="0" distB="0" distL="0" distR="0" wp14:anchorId="74AAF0F1" wp14:editId="5CEA4EE0">
                <wp:extent cx="2119150" cy="684000"/>
                <wp:effectExtent l="0" t="0" r="0" b="1905"/>
                <wp:docPr id="1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9150" cy="684000"/>
                        </a:xfrm>
                        <a:prstGeom prst="rect">
                          <a:avLst/>
                        </a:prstGeom>
                      </pic:spPr>
                    </pic:pic>
                  </a:graphicData>
                </a:graphic>
              </wp:inline>
            </w:drawing>
          </w:r>
        </w:p>
      </w:tc>
      <w:tc>
        <w:tcPr>
          <w:tcW w:w="3542" w:type="dxa"/>
          <w:vAlign w:val="center"/>
        </w:tcPr>
        <w:p w:rsidR="000F76AC" w:rsidRDefault="00A42CAE" w:rsidP="00F40BF3">
          <w:pPr>
            <w:pStyle w:val="stbilgi"/>
            <w:ind w:firstLine="142"/>
            <w:jc w:val="center"/>
          </w:pPr>
          <w:bookmarkStart w:id="0" w:name="_GoBack"/>
          <w:r>
            <w:rPr>
              <w:noProof/>
              <w:lang w:eastAsia="tr-TR"/>
            </w:rPr>
            <w:drawing>
              <wp:inline distT="0" distB="0" distL="0" distR="0" wp14:anchorId="23E0D4FF" wp14:editId="03580A84">
                <wp:extent cx="1698230" cy="684000"/>
                <wp:effectExtent l="0" t="0" r="0" b="190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yazı_yanda-arka-transparan-on-kırmızı-0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8230" cy="684000"/>
                        </a:xfrm>
                        <a:prstGeom prst="rect">
                          <a:avLst/>
                        </a:prstGeom>
                      </pic:spPr>
                    </pic:pic>
                  </a:graphicData>
                </a:graphic>
              </wp:inline>
            </w:drawing>
          </w:r>
          <w:bookmarkEnd w:id="0"/>
        </w:p>
      </w:tc>
      <w:tc>
        <w:tcPr>
          <w:tcW w:w="3543" w:type="dxa"/>
          <w:tcMar>
            <w:left w:w="284" w:type="dxa"/>
          </w:tcMar>
          <w:vAlign w:val="center"/>
        </w:tcPr>
        <w:p w:rsidR="000F76AC" w:rsidRDefault="00551CFC" w:rsidP="00BA79A9">
          <w:pPr>
            <w:pStyle w:val="stbilgi"/>
            <w:ind w:right="596"/>
            <w:jc w:val="right"/>
          </w:pPr>
          <w:r w:rsidRPr="00551CFC">
            <w:rPr>
              <w:noProof/>
              <w:lang w:eastAsia="tr-TR"/>
            </w:rPr>
            <w:drawing>
              <wp:inline distT="0" distB="0" distL="0" distR="0">
                <wp:extent cx="952405" cy="786765"/>
                <wp:effectExtent l="0" t="0" r="635" b="0"/>
                <wp:docPr id="15" name="Resim 15" descr="C:\Users\rifat.duran\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fat.duran\Desktop\Adsız.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8166" cy="808045"/>
                        </a:xfrm>
                        <a:prstGeom prst="rect">
                          <a:avLst/>
                        </a:prstGeom>
                        <a:noFill/>
                        <a:ln>
                          <a:noFill/>
                        </a:ln>
                      </pic:spPr>
                    </pic:pic>
                  </a:graphicData>
                </a:graphic>
              </wp:inline>
            </w:drawing>
          </w:r>
        </w:p>
      </w:tc>
    </w:tr>
  </w:tbl>
  <w:p w:rsidR="00C249C9" w:rsidRPr="00AE56F9" w:rsidRDefault="007406FD" w:rsidP="00AE56F9">
    <w:pPr>
      <w:pStyle w:val="stbilgi"/>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46" w:rsidRDefault="00315E4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CEB"/>
    <w:multiLevelType w:val="hybridMultilevel"/>
    <w:tmpl w:val="2C6C95F6"/>
    <w:lvl w:ilvl="0" w:tplc="E7507490">
      <w:start w:val="1"/>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243C8A"/>
    <w:multiLevelType w:val="hybridMultilevel"/>
    <w:tmpl w:val="34F28A34"/>
    <w:lvl w:ilvl="0" w:tplc="663A1B36">
      <w:start w:val="1"/>
      <w:numFmt w:val="bullet"/>
      <w:lvlText w:val="•"/>
      <w:lvlJc w:val="left"/>
      <w:pPr>
        <w:tabs>
          <w:tab w:val="num" w:pos="720"/>
        </w:tabs>
        <w:ind w:left="720" w:hanging="360"/>
      </w:pPr>
      <w:rPr>
        <w:rFonts w:ascii="Times New Roman" w:hAnsi="Times New Roman" w:cs="Times New Roman"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E160A2"/>
    <w:multiLevelType w:val="hybridMultilevel"/>
    <w:tmpl w:val="083429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AB34EC"/>
    <w:multiLevelType w:val="hybridMultilevel"/>
    <w:tmpl w:val="B2B8CA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2A"/>
    <w:rsid w:val="00125A35"/>
    <w:rsid w:val="00315E46"/>
    <w:rsid w:val="00551CFC"/>
    <w:rsid w:val="007406FD"/>
    <w:rsid w:val="008C25E5"/>
    <w:rsid w:val="00A42CAE"/>
    <w:rsid w:val="00BA79A9"/>
    <w:rsid w:val="00CD162A"/>
    <w:rsid w:val="00ED4DCD"/>
    <w:rsid w:val="00F40B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02F7EC-58EA-47E4-8213-C3D38CCF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9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9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9A9"/>
  </w:style>
  <w:style w:type="paragraph" w:styleId="Altbilgi">
    <w:name w:val="footer"/>
    <w:basedOn w:val="Normal"/>
    <w:link w:val="AltbilgiChar"/>
    <w:uiPriority w:val="99"/>
    <w:unhideWhenUsed/>
    <w:rsid w:val="00BA79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9A9"/>
  </w:style>
  <w:style w:type="table" w:styleId="TabloKlavuzu">
    <w:name w:val="Table Grid"/>
    <w:basedOn w:val="NormalTablo"/>
    <w:uiPriority w:val="39"/>
    <w:rsid w:val="00BA7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BA79A9"/>
    <w:pPr>
      <w:ind w:left="720"/>
      <w:contextualSpacing/>
    </w:p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A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950</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RIFAT DURAN</dc:creator>
  <cp:keywords/>
  <dc:description/>
  <cp:lastModifiedBy>RIFAT DURAN</cp:lastModifiedBy>
  <cp:revision>3</cp:revision>
  <dcterms:created xsi:type="dcterms:W3CDTF">2020-12-02T06:29:00Z</dcterms:created>
  <dcterms:modified xsi:type="dcterms:W3CDTF">2020-12-02T09:47:00Z</dcterms:modified>
</cp:coreProperties>
</file>