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3D596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>(Söz. EK: 3b)</w:t>
      </w:r>
      <w:bookmarkEnd w:id="4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3D596F" w:rsidRDefault="00192396" w:rsidP="003D596F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D596F" w:rsidRPr="007B674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ÜRETİM SÜREÇLERİNDE ENTEGRASYONUN SAĞLANMASI, YENİ ÜRÜN ÇEŞİTLERİ ÜRETİMİ İLE PAZAR PAYI VE REKABET GÜCÜNÜN ARTTIRILMASI </w:t>
      </w:r>
    </w:p>
    <w:p w:rsidR="00192396" w:rsidRPr="003D596F" w:rsidRDefault="00192396" w:rsidP="003D596F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D596F" w:rsidRPr="007B0F12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TR62/16/MİKRO/0039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8C0288" w:rsidRDefault="00192396" w:rsidP="003D596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3D596F" w:rsidRPr="008C0288" w:rsidRDefault="00192396" w:rsidP="003D596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Yetkili İmza</w:t>
      </w:r>
    </w:p>
    <w:sectPr w:rsidR="003D596F" w:rsidRPr="008C0288" w:rsidSect="009A7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12" w:rsidRDefault="00ED7012" w:rsidP="00192396">
      <w:pPr>
        <w:spacing w:after="0" w:line="240" w:lineRule="auto"/>
      </w:pPr>
      <w:r>
        <w:separator/>
      </w:r>
    </w:p>
  </w:endnote>
  <w:endnote w:type="continuationSeparator" w:id="1">
    <w:p w:rsidR="00ED7012" w:rsidRDefault="00ED7012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12" w:rsidRDefault="00ED7012" w:rsidP="00192396">
      <w:pPr>
        <w:spacing w:after="0" w:line="240" w:lineRule="auto"/>
      </w:pPr>
      <w:r>
        <w:separator/>
      </w:r>
    </w:p>
  </w:footnote>
  <w:footnote w:type="continuationSeparator" w:id="1">
    <w:p w:rsidR="00ED7012" w:rsidRDefault="00ED7012" w:rsidP="00192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96"/>
    <w:rsid w:val="00192396"/>
    <w:rsid w:val="00335559"/>
    <w:rsid w:val="003D596F"/>
    <w:rsid w:val="00534383"/>
    <w:rsid w:val="008C0288"/>
    <w:rsid w:val="008C3770"/>
    <w:rsid w:val="00957DA3"/>
    <w:rsid w:val="009A72F0"/>
    <w:rsid w:val="00CA11BF"/>
    <w:rsid w:val="00ED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</cp:lastModifiedBy>
  <cp:revision>5</cp:revision>
  <dcterms:created xsi:type="dcterms:W3CDTF">2012-04-19T05:44:00Z</dcterms:created>
  <dcterms:modified xsi:type="dcterms:W3CDTF">2016-12-05T17:00:00Z</dcterms:modified>
</cp:coreProperties>
</file>