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C14F71"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Pr>
          <w:rFonts w:ascii="Arial" w:hAnsi="Arial" w:cs="Arial"/>
          <w:color w:val="222222"/>
          <w:sz w:val="17"/>
          <w:szCs w:val="17"/>
          <w:shd w:val="clear" w:color="auto" w:fill="FCFDFD"/>
        </w:rPr>
        <w:t>TEMİZ-İŞ TENEKE AMBALAJ SANAYİ VE TİC. LTD. ŞTİ.</w:t>
      </w:r>
    </w:p>
    <w:p w:rsidR="00230D41" w:rsidRPr="00230D41" w:rsidRDefault="00C14F71"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b)  Adresi: </w:t>
      </w:r>
      <w:r>
        <w:rPr>
          <w:color w:val="222222"/>
          <w:shd w:val="clear" w:color="auto" w:fill="FCFDFD"/>
        </w:rPr>
        <w:t>ADANA HACI SABANCI</w:t>
      </w:r>
      <w:r w:rsidRPr="00CD1444">
        <w:rPr>
          <w:color w:val="222222"/>
          <w:shd w:val="clear" w:color="auto" w:fill="FCFDFD"/>
        </w:rPr>
        <w:t xml:space="preserve"> ORG. SAN. BÖLG. ATATÜRK BULV. NO:61 Yüreğir/ADANA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C14F71">
        <w:rPr>
          <w:rFonts w:ascii="Times New Roman" w:eastAsia="Times New Roman" w:hAnsi="Times New Roman" w:cs="Times New Roman"/>
          <w:sz w:val="20"/>
          <w:szCs w:val="20"/>
          <w:lang w:eastAsia="tr-TR"/>
        </w:rPr>
        <w:t xml:space="preserve"> </w:t>
      </w:r>
      <w:r w:rsidR="00C14F71" w:rsidRPr="00CD1444">
        <w:t>(</w:t>
      </w:r>
      <w:r w:rsidR="00C14F71" w:rsidRPr="00CD1444">
        <w:rPr>
          <w:color w:val="222222"/>
          <w:shd w:val="clear" w:color="auto" w:fill="FCFDFD"/>
        </w:rPr>
        <w:t>322) 394 4439</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C14F7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C14F71">
        <w:rPr>
          <w:rFonts w:ascii="Times New Roman" w:eastAsia="Times New Roman" w:hAnsi="Times New Roman" w:cs="Times New Roman"/>
          <w:sz w:val="20"/>
          <w:szCs w:val="20"/>
          <w:lang w:eastAsia="tr-TR"/>
        </w:rPr>
        <w:t xml:space="preserve">: </w:t>
      </w:r>
      <w:hyperlink r:id="rId8" w:history="1">
        <w:r w:rsidR="00C14F71">
          <w:rPr>
            <w:rStyle w:val="Kpr"/>
            <w:lang w:eastAsia="tr-TR"/>
          </w:rPr>
          <w:t>info@temizistenekeambalaj.com</w:t>
        </w:r>
      </w:hyperlink>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C14F71" w:rsidRPr="00CD1444">
        <w:t>Cengiz BOZDAĞ</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C14F71">
        <w:rPr>
          <w:rFonts w:ascii="Arial" w:hAnsi="Arial" w:cs="Arial"/>
          <w:color w:val="222222"/>
          <w:sz w:val="17"/>
          <w:szCs w:val="17"/>
          <w:shd w:val="clear" w:color="auto" w:fill="FCFDFD"/>
        </w:rPr>
        <w:t>BÖLGEDE İLK KEZ ÜRETİLECEK OLAN TSE STANDARTLARINA UYGUN METAL TAÇLI KAPAK İMALATI</w:t>
      </w:r>
    </w:p>
    <w:p w:rsidR="00C14F71" w:rsidRPr="00C14F7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C14F71">
        <w:rPr>
          <w:rFonts w:ascii="Times New Roman" w:eastAsia="Times New Roman" w:hAnsi="Times New Roman" w:cs="Times New Roman"/>
          <w:sz w:val="20"/>
          <w:szCs w:val="20"/>
          <w:lang w:eastAsia="tr-TR"/>
        </w:rPr>
        <w:t xml:space="preserve">Sözleşme kodu: </w:t>
      </w:r>
      <w:r w:rsidR="00C14F71" w:rsidRPr="00CD1444">
        <w:rPr>
          <w:color w:val="222222"/>
          <w:shd w:val="clear" w:color="auto" w:fill="FCFDFD"/>
        </w:rPr>
        <w:t>TR62/14/BREY/0159</w:t>
      </w:r>
    </w:p>
    <w:p w:rsidR="00230D41" w:rsidRPr="00372B3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C14F71">
        <w:rPr>
          <w:rFonts w:ascii="Times New Roman" w:eastAsia="Times New Roman" w:hAnsi="Times New Roman" w:cs="Times New Roman"/>
          <w:sz w:val="20"/>
          <w:szCs w:val="20"/>
          <w:lang w:eastAsia="tr-TR"/>
        </w:rPr>
        <w:t xml:space="preserve">Fiziki Miktarı ve türü: </w:t>
      </w:r>
    </w:p>
    <w:p w:rsidR="00372B39" w:rsidRPr="00B1494D" w:rsidRDefault="00372B39" w:rsidP="00372B39">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B1494D" w:rsidRPr="00EE5B42" w:rsidRDefault="00372B39" w:rsidP="00B1494D">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0"/>
          <w:szCs w:val="20"/>
          <w:lang w:eastAsia="tr-TR"/>
        </w:rPr>
      </w:pPr>
      <w:r w:rsidRPr="00EE5B42">
        <w:rPr>
          <w:rFonts w:ascii="Times New Roman" w:eastAsia="Times New Roman" w:hAnsi="Times New Roman" w:cs="Times New Roman"/>
          <w:sz w:val="20"/>
          <w:szCs w:val="20"/>
          <w:lang w:eastAsia="tr-TR"/>
        </w:rPr>
        <w:t xml:space="preserve"> LOT 1: </w:t>
      </w:r>
      <w:r w:rsidR="00B1494D" w:rsidRPr="00EE5B42">
        <w:rPr>
          <w:rFonts w:ascii="Times New Roman" w:eastAsia="Times New Roman" w:hAnsi="Times New Roman" w:cs="Times New Roman"/>
          <w:sz w:val="20"/>
          <w:szCs w:val="20"/>
          <w:lang w:eastAsia="tr-TR"/>
        </w:rPr>
        <w:t>Pres makinesi – 1 adet</w:t>
      </w:r>
    </w:p>
    <w:p w:rsidR="00B1494D" w:rsidRPr="00EE5B42" w:rsidRDefault="00EE5B42" w:rsidP="00B1494D">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00372B39" w:rsidRPr="00EE5B42">
        <w:rPr>
          <w:rFonts w:ascii="Times New Roman" w:eastAsia="Times New Roman" w:hAnsi="Times New Roman" w:cs="Times New Roman"/>
          <w:sz w:val="20"/>
          <w:szCs w:val="20"/>
          <w:lang w:eastAsia="tr-TR"/>
        </w:rPr>
        <w:t xml:space="preserve">LOT 2: </w:t>
      </w:r>
      <w:r w:rsidR="00B1494D" w:rsidRPr="00EE5B42">
        <w:rPr>
          <w:rFonts w:ascii="Times New Roman" w:eastAsia="Times New Roman" w:hAnsi="Times New Roman" w:cs="Times New Roman"/>
          <w:sz w:val="20"/>
          <w:szCs w:val="20"/>
          <w:lang w:eastAsia="tr-TR"/>
        </w:rPr>
        <w:t>Conta makinesi – 1 adet</w:t>
      </w:r>
    </w:p>
    <w:p w:rsidR="00372B39" w:rsidRPr="00C14F71" w:rsidRDefault="00372B39" w:rsidP="00B1494D">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
          <w:sz w:val="20"/>
          <w:szCs w:val="20"/>
          <w:lang w:eastAsia="tr-TR"/>
        </w:rPr>
      </w:pP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C14F71">
        <w:rPr>
          <w:color w:val="222222"/>
          <w:shd w:val="clear" w:color="auto" w:fill="FCFDFD"/>
        </w:rPr>
        <w:t>ADANA HACI SABANCI</w:t>
      </w:r>
      <w:r w:rsidR="00C14F71" w:rsidRPr="00CD1444">
        <w:rPr>
          <w:color w:val="222222"/>
          <w:shd w:val="clear" w:color="auto" w:fill="FCFDFD"/>
        </w:rPr>
        <w:t xml:space="preserve"> ORG. SAN. BÖLG. ATATÜRK BULV. NO:61 Yüreğir/ADANA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C14F71">
        <w:rPr>
          <w:rFonts w:ascii="Times New Roman" w:eastAsia="Times New Roman" w:hAnsi="Times New Roman" w:cs="Times New Roman"/>
          <w:sz w:val="20"/>
          <w:szCs w:val="20"/>
          <w:lang w:eastAsia="tr-TR"/>
        </w:rPr>
        <w:t xml:space="preserve">Fiyatlar KDV </w:t>
      </w:r>
      <w:r w:rsidR="00B1494D">
        <w:rPr>
          <w:rFonts w:ascii="Times New Roman" w:eastAsia="Times New Roman" w:hAnsi="Times New Roman" w:cs="Times New Roman"/>
          <w:sz w:val="20"/>
          <w:szCs w:val="20"/>
          <w:lang w:eastAsia="tr-TR"/>
        </w:rPr>
        <w:t>hariç</w:t>
      </w:r>
      <w:r w:rsidR="00C14F71">
        <w:rPr>
          <w:rFonts w:ascii="Times New Roman" w:eastAsia="Times New Roman" w:hAnsi="Times New Roman" w:cs="Times New Roman"/>
          <w:sz w:val="20"/>
          <w:szCs w:val="20"/>
          <w:lang w:eastAsia="tr-TR"/>
        </w:rPr>
        <w:t xml:space="preserve"> verilecektir.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C14F71">
        <w:rPr>
          <w:rFonts w:ascii="Times New Roman" w:eastAsia="Times New Roman" w:hAnsi="Times New Roman" w:cs="Times New Roman"/>
          <w:sz w:val="20"/>
          <w:szCs w:val="20"/>
          <w:lang w:eastAsia="tr-TR"/>
        </w:rPr>
        <w:t xml:space="preserve">)   İhalenin yapılacağı adres: </w:t>
      </w:r>
      <w:r w:rsidR="00B1494D" w:rsidRPr="00B1494D">
        <w:rPr>
          <w:rFonts w:ascii="Times New Roman" w:eastAsia="Times New Roman" w:hAnsi="Times New Roman" w:cs="Times New Roman"/>
          <w:sz w:val="20"/>
          <w:szCs w:val="20"/>
          <w:lang w:eastAsia="tr-TR"/>
        </w:rPr>
        <w:t>ADANA HACI SABANCI ORG. SAN. BÖLG. ATATÜRK BULV. NO:61 Yüreğir/ADANA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C50471">
        <w:rPr>
          <w:rFonts w:ascii="Times New Roman" w:eastAsia="Times New Roman" w:hAnsi="Times New Roman" w:cs="Times New Roman"/>
          <w:sz w:val="20"/>
          <w:szCs w:val="20"/>
          <w:lang w:eastAsia="tr-TR"/>
        </w:rPr>
        <w:t>03.09.2014</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C50471">
        <w:rPr>
          <w:sz w:val="20"/>
          <w:szCs w:val="20"/>
        </w:rPr>
        <w:t>10:00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C5047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w:t>
      </w:r>
      <w:r w:rsidRPr="00C50471">
        <w:rPr>
          <w:rFonts w:ascii="Times New Roman" w:eastAsia="Times New Roman" w:hAnsi="Times New Roman" w:cs="Times New Roman"/>
          <w:sz w:val="20"/>
          <w:szCs w:val="20"/>
          <w:lang w:eastAsia="tr-TR"/>
        </w:rPr>
        <w:t xml:space="preserve">bedelsiz olarak görülebilir. Ancak, ihaleye teklif verecek olanların Sözleşme Makamı tarafından onaylı ihale dosyasını </w:t>
      </w:r>
      <w:r w:rsidRPr="00C50471">
        <w:rPr>
          <w:rFonts w:ascii="Times New Roman" w:eastAsia="Times New Roman" w:hAnsi="Times New Roman" w:cs="Times New Roman"/>
          <w:i/>
          <w:sz w:val="20"/>
          <w:szCs w:val="20"/>
          <w:lang w:eastAsia="tr-TR"/>
        </w:rPr>
        <w:t>bedelsiz imza karşılığı teslim almak</w:t>
      </w:r>
      <w:r w:rsidRPr="00C50471">
        <w:rPr>
          <w:rFonts w:ascii="Times New Roman" w:eastAsia="Times New Roman" w:hAnsi="Times New Roman" w:cs="Times New Roman"/>
          <w:sz w:val="20"/>
          <w:szCs w:val="20"/>
          <w:lang w:eastAsia="tr-TR"/>
        </w:rPr>
        <w:t xml:space="preserve"> zorunludur.</w:t>
      </w:r>
    </w:p>
    <w:p w:rsidR="00230D41" w:rsidRPr="00C5047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C50471">
        <w:rPr>
          <w:rFonts w:ascii="Times New Roman" w:eastAsia="Times New Roman" w:hAnsi="Times New Roman" w:cs="Times New Roman"/>
          <w:sz w:val="20"/>
          <w:szCs w:val="20"/>
          <w:lang w:eastAsia="tr-TR"/>
        </w:rPr>
        <w:t xml:space="preserve">İstekli ihale dosyasını </w:t>
      </w:r>
      <w:r w:rsidRPr="00C50471">
        <w:rPr>
          <w:rFonts w:ascii="Times New Roman" w:eastAsia="Times New Roman" w:hAnsi="Times New Roman" w:cs="Times New Roman"/>
          <w:i/>
          <w:sz w:val="20"/>
          <w:szCs w:val="20"/>
          <w:lang w:eastAsia="tr-TR"/>
        </w:rPr>
        <w:t>bedelsiz imza karşılığı teslim almakla</w:t>
      </w:r>
      <w:r w:rsidRPr="00C50471">
        <w:rPr>
          <w:rFonts w:ascii="Times New Roman" w:eastAsia="Times New Roman" w:hAnsi="Times New Roman" w:cs="Times New Roman"/>
          <w:sz w:val="20"/>
          <w:szCs w:val="20"/>
          <w:lang w:eastAsia="tr-TR"/>
        </w:rPr>
        <w:t>, ihale dosyası</w:t>
      </w:r>
      <w:r w:rsidRPr="00230D41">
        <w:rPr>
          <w:rFonts w:ascii="Times New Roman" w:eastAsia="Times New Roman" w:hAnsi="Times New Roman" w:cs="Times New Roman"/>
          <w:sz w:val="20"/>
          <w:szCs w:val="20"/>
          <w:lang w:eastAsia="tr-TR"/>
        </w:rPr>
        <w:t xml:space="preserve">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Default="00230D41" w:rsidP="00230D41">
      <w:pPr>
        <w:spacing w:after="0" w:line="240" w:lineRule="auto"/>
        <w:jc w:val="both"/>
        <w:rPr>
          <w:rFonts w:ascii="Times New Roman" w:eastAsia="Times New Roman" w:hAnsi="Times New Roman" w:cs="Times New Roman"/>
          <w:sz w:val="20"/>
          <w:szCs w:val="20"/>
          <w:lang w:eastAsia="tr-TR"/>
        </w:rPr>
      </w:pPr>
    </w:p>
    <w:p w:rsidR="00D1270E" w:rsidRPr="00230D41" w:rsidRDefault="00D1270E"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  Tekliflerin sunulacağı yer</w:t>
      </w:r>
      <w:r w:rsidR="00B1494D" w:rsidRPr="00B1494D">
        <w:t xml:space="preserve"> </w:t>
      </w:r>
      <w:r w:rsidR="00B1494D" w:rsidRPr="00B1494D">
        <w:rPr>
          <w:rFonts w:ascii="Times New Roman" w:eastAsia="Times New Roman" w:hAnsi="Times New Roman" w:cs="Times New Roman"/>
          <w:sz w:val="20"/>
          <w:szCs w:val="20"/>
        </w:rPr>
        <w:t>ADANA HACI SABANCI ORG. SAN. BÖLG. ATATÜRK BULV. NO:61 Yüreğir/ADANA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C50471">
        <w:rPr>
          <w:rFonts w:ascii="Times New Roman" w:eastAsia="Times New Roman" w:hAnsi="Times New Roman" w:cs="Times New Roman"/>
          <w:sz w:val="20"/>
          <w:szCs w:val="20"/>
          <w:lang w:eastAsia="tr-TR"/>
        </w:rPr>
        <w:t>03.09.2014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C50471">
        <w:rPr>
          <w:sz w:val="20"/>
          <w:szCs w:val="20"/>
        </w:rPr>
        <w:t>10:00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B46551" w:rsidRDefault="00230D41" w:rsidP="00230D41">
      <w:pPr>
        <w:spacing w:after="0" w:line="240" w:lineRule="auto"/>
        <w:jc w:val="both"/>
        <w:rPr>
          <w:rFonts w:ascii="Times New Roman" w:eastAsia="Times New Roman" w:hAnsi="Times New Roman" w:cs="Times New Roman"/>
          <w:b/>
          <w:bCs/>
          <w:sz w:val="20"/>
          <w:szCs w:val="20"/>
          <w:lang w:eastAsia="tr-TR"/>
        </w:rPr>
      </w:pPr>
      <w:r w:rsidRPr="00B46551">
        <w:rPr>
          <w:rFonts w:ascii="Times New Roman" w:eastAsia="Times New Roman" w:hAnsi="Times New Roman" w:cs="Times New Roman"/>
          <w:b/>
          <w:bCs/>
          <w:sz w:val="20"/>
          <w:szCs w:val="20"/>
          <w:lang w:eastAsia="tr-TR"/>
        </w:rPr>
        <w:t xml:space="preserve">Madde 7- </w:t>
      </w:r>
      <w:r w:rsidRPr="00B4655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B46551">
        <w:rPr>
          <w:rFonts w:ascii="Times New Roman" w:eastAsia="Times New Roman" w:hAnsi="Times New Roman" w:cs="Times New Roman"/>
          <w:sz w:val="20"/>
          <w:szCs w:val="20"/>
        </w:rPr>
        <w:t>İsteklilerin ihaleye katılabilmeleri için aşağıda sayılan belgeleri teklifleri kapsamında sunmaları gerekir:</w:t>
      </w:r>
    </w:p>
    <w:p w:rsidR="00D858B7" w:rsidRDefault="00D858B7" w:rsidP="00D858B7">
      <w:pPr>
        <w:pStyle w:val="ListeParagraf"/>
        <w:numPr>
          <w:ilvl w:val="0"/>
          <w:numId w:val="16"/>
        </w:numPr>
        <w:spacing w:after="60" w:line="240" w:lineRule="auto"/>
        <w:contextualSpacing w:val="0"/>
        <w:jc w:val="both"/>
      </w:pPr>
      <w:r>
        <w:t>Tebligat için adres beyanı ve ayrıca irtibat için telefon ve varsa faks numaras</w:t>
      </w:r>
      <w:r w:rsidR="00D1270E">
        <w:t xml:space="preserve">ı ile elektronik posta adresi </w:t>
      </w:r>
    </w:p>
    <w:p w:rsidR="00D858B7" w:rsidRDefault="00D858B7" w:rsidP="00D858B7">
      <w:pPr>
        <w:pStyle w:val="ListeParagraf"/>
        <w:spacing w:after="60"/>
        <w:jc w:val="both"/>
      </w:pPr>
    </w:p>
    <w:p w:rsidR="00D858B7" w:rsidRDefault="00D858B7" w:rsidP="00D858B7">
      <w:pPr>
        <w:jc w:val="both"/>
      </w:pPr>
      <w:r>
        <w:t>b) Mevzuatı gereği kayıtlı olduğu Ticaret ve/veya Sanayi Odası veya Meslek Odası Belgesi;</w:t>
      </w:r>
      <w:r w:rsidR="00D1270E">
        <w:t xml:space="preserve"> (Yabancı istekliler için, teklif verecek </w:t>
      </w:r>
      <w:r w:rsidR="00D1270E" w:rsidRPr="00B46551">
        <w:rPr>
          <w:color w:val="000000" w:themeColor="text1"/>
        </w:rPr>
        <w:t xml:space="preserve">ülkelerdeki </w:t>
      </w:r>
      <w:r w:rsidRPr="00B46551">
        <w:rPr>
          <w:color w:val="000000" w:themeColor="text1"/>
        </w:rPr>
        <w:t>muadil belge</w:t>
      </w:r>
      <w:r w:rsidR="00D1270E" w:rsidRPr="00B46551">
        <w:rPr>
          <w:color w:val="000000" w:themeColor="text1"/>
        </w:rPr>
        <w:t>)</w:t>
      </w:r>
    </w:p>
    <w:p w:rsidR="00D858B7" w:rsidRDefault="00D858B7" w:rsidP="00D858B7">
      <w:pPr>
        <w:numPr>
          <w:ilvl w:val="0"/>
          <w:numId w:val="17"/>
        </w:numPr>
        <w:overflowPunct w:val="0"/>
        <w:autoSpaceDE w:val="0"/>
        <w:autoSpaceDN w:val="0"/>
        <w:spacing w:after="0" w:line="280" w:lineRule="exact"/>
        <w:jc w:val="both"/>
        <w:textAlignment w:val="baseline"/>
        <w:rPr>
          <w:rFonts w:eastAsia="Times New Roman"/>
        </w:rPr>
      </w:pPr>
      <w:r>
        <w:rPr>
          <w:rFonts w:eastAsia="Times New Roman"/>
        </w:rPr>
        <w:t> </w:t>
      </w:r>
      <w:r>
        <w:rPr>
          <w:rFonts w:eastAsia="Times New Roman"/>
          <w:color w:val="1F497D"/>
        </w:rPr>
        <w:t>M</w:t>
      </w:r>
      <w:r>
        <w:rPr>
          <w:rFonts w:eastAsia="Times New Roman"/>
        </w:rPr>
        <w:t>evzuatı gereği tüzel kişiliğin siciline kayıtlı bulunduğu Ticaret ve/veya Sanayi Odasından, ilk ilan veya ihale tarihinin içerisinde bulunduğu yılda alınmış, tüzel kişiliğin sicile kayıtlı olduğuna dair belge,</w:t>
      </w:r>
    </w:p>
    <w:p w:rsidR="00D858B7" w:rsidRDefault="00D858B7" w:rsidP="00D858B7">
      <w:pPr>
        <w:spacing w:line="280" w:lineRule="exact"/>
        <w:jc w:val="both"/>
      </w:pPr>
    </w:p>
    <w:p w:rsidR="00D858B7" w:rsidRDefault="00D858B7" w:rsidP="00D858B7">
      <w:pPr>
        <w:jc w:val="both"/>
      </w:pPr>
      <w:r>
        <w:t>c) Teklif vermeye yetkili olduğunu gösteren imza beyannamesi veya imza sirküleri;</w:t>
      </w:r>
    </w:p>
    <w:p w:rsidR="00D858B7" w:rsidRDefault="00D858B7" w:rsidP="00D858B7">
      <w:pPr>
        <w:numPr>
          <w:ilvl w:val="0"/>
          <w:numId w:val="18"/>
        </w:numPr>
        <w:overflowPunct w:val="0"/>
        <w:autoSpaceDE w:val="0"/>
        <w:autoSpaceDN w:val="0"/>
        <w:spacing w:after="0" w:line="240" w:lineRule="auto"/>
        <w:jc w:val="both"/>
        <w:textAlignment w:val="baseline"/>
        <w:rPr>
          <w:rFonts w:eastAsia="Times New Roman"/>
        </w:rPr>
      </w:pPr>
      <w:r>
        <w:rPr>
          <w:rFonts w:eastAsia="Times New Roman"/>
          <w:color w:val="1F497D"/>
        </w:rPr>
        <w:lastRenderedPageBreak/>
        <w:t>İ</w:t>
      </w:r>
      <w:r>
        <w:rPr>
          <w:rFonts w:eastAsia="Times New Roman"/>
        </w:rPr>
        <w:t>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D858B7" w:rsidRDefault="00D858B7" w:rsidP="00D858B7">
      <w:pPr>
        <w:ind w:firstLine="1560"/>
        <w:jc w:val="both"/>
      </w:pPr>
    </w:p>
    <w:p w:rsidR="00D858B7" w:rsidRDefault="00D858B7" w:rsidP="00D858B7">
      <w:pPr>
        <w:spacing w:before="120" w:after="120"/>
        <w:jc w:val="both"/>
      </w:pPr>
      <w:r>
        <w:t xml:space="preserve">d) Bu talimatların ilgili maddesinde sayılan durumlarda olunmadığına ilişkin yazılı taahhütname, </w:t>
      </w:r>
    </w:p>
    <w:p w:rsidR="00D858B7" w:rsidRDefault="00D858B7" w:rsidP="00D858B7">
      <w:pPr>
        <w:spacing w:before="120" w:after="120"/>
        <w:jc w:val="both"/>
      </w:pPr>
      <w:r>
        <w:t xml:space="preserve">e) Şekli ve içeriği bu belgede belirlenen teklif mektubu, </w:t>
      </w:r>
    </w:p>
    <w:p w:rsidR="00D858B7" w:rsidRDefault="00D858B7" w:rsidP="00D858B7">
      <w:pPr>
        <w:spacing w:after="120"/>
        <w:rPr>
          <w:color w:val="FF0000"/>
        </w:rPr>
      </w:pPr>
      <w:r>
        <w:t>f) İhale dosyasının satın alındığına dair belge</w:t>
      </w:r>
      <w:r w:rsidRPr="00D1270E">
        <w:rPr>
          <w:color w:val="000000" w:themeColor="text1"/>
        </w:rPr>
        <w:t xml:space="preserve">, </w:t>
      </w:r>
      <w:r w:rsidR="00D1270E" w:rsidRPr="00D1270E">
        <w:rPr>
          <w:color w:val="000000" w:themeColor="text1"/>
        </w:rPr>
        <w:t>(GEREKMEMEKTEDİR)</w:t>
      </w:r>
    </w:p>
    <w:p w:rsidR="00D858B7" w:rsidRDefault="00D858B7" w:rsidP="00D858B7">
      <w:pPr>
        <w:spacing w:before="120"/>
        <w:jc w:val="both"/>
      </w:pPr>
      <w:r>
        <w:t xml:space="preserve">g)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D858B7" w:rsidRDefault="00D858B7" w:rsidP="00D858B7">
      <w:pPr>
        <w:spacing w:before="120" w:after="60"/>
        <w:jc w:val="both"/>
      </w:pPr>
      <w:r>
        <w:t xml:space="preserve">l) Sözleşme Makamı tarafından belirlenecek mesleki ve teknik yeterliğe ilişkin belgeler  (İş bitirme belgeleri, </w:t>
      </w:r>
      <w:proofErr w:type="spellStart"/>
      <w:r>
        <w:t>hakediş</w:t>
      </w:r>
      <w:proofErr w:type="spellEnd"/>
      <w:r>
        <w:t xml:space="preserve"> belgeleri, </w:t>
      </w:r>
      <w:proofErr w:type="spellStart"/>
      <w:r>
        <w:t>vb</w:t>
      </w:r>
      <w:proofErr w:type="spellEnd"/>
      <w:r>
        <w:t xml:space="preserve">) </w:t>
      </w:r>
    </w:p>
    <w:p w:rsidR="00D858B7" w:rsidRDefault="00D858B7" w:rsidP="00D858B7">
      <w:pPr>
        <w:overflowPunct w:val="0"/>
        <w:autoSpaceDE w:val="0"/>
        <w:autoSpaceDN w:val="0"/>
        <w:spacing w:before="120" w:after="120"/>
        <w:jc w:val="both"/>
        <w:textAlignment w:val="baseline"/>
      </w:pPr>
      <w:r>
        <w:t xml:space="preserve">İstekliler, yukarıda sayılan belgelerin aslını veya aslına uygunluğu noterce onaylanmış örneklerini vermek zorundadır. Ancak Türkiye Ticaret Sicili Gazetesi Nizam </w:t>
      </w:r>
      <w:proofErr w:type="spellStart"/>
      <w:r>
        <w:t>namesi’nin</w:t>
      </w:r>
      <w:proofErr w:type="spellEnd"/>
      <w: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C50471">
        <w:rPr>
          <w:rFonts w:ascii="Times New Roman" w:eastAsia="Times New Roman" w:hAnsi="Times New Roman" w:cs="Times New Roman"/>
          <w:sz w:val="20"/>
          <w:szCs w:val="20"/>
        </w:rPr>
        <w:t xml:space="preserve">Sözleşme Makamı tarafından gerçekleştirilecek ihaleler </w:t>
      </w:r>
      <w:r w:rsidR="00D858B7" w:rsidRPr="00C50471">
        <w:rPr>
          <w:rFonts w:ascii="Times New Roman" w:eastAsia="Times New Roman" w:hAnsi="Times New Roman" w:cs="Times New Roman"/>
          <w:sz w:val="20"/>
          <w:szCs w:val="20"/>
        </w:rPr>
        <w:t xml:space="preserve">yerli ve yabancı tüm isteklilere </w:t>
      </w:r>
      <w:r w:rsidRPr="00C50471">
        <w:rPr>
          <w:rFonts w:ascii="Times New Roman" w:eastAsia="Times New Roman" w:hAnsi="Times New Roman" w:cs="Times New Roman"/>
          <w:sz w:val="20"/>
          <w:szCs w:val="20"/>
        </w:rPr>
        <w:t>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r w:rsidR="00D1270E">
        <w:rPr>
          <w:rFonts w:ascii="Times New Roman" w:eastAsia="Times New Roman" w:hAnsi="Times New Roman" w:cs="Times New Roman"/>
          <w:sz w:val="20"/>
          <w:szCs w:val="20"/>
          <w:lang w:eastAsia="tr-TR"/>
        </w:rPr>
        <w:t>(Yurtdışından verilecek tekliflerde, ihale bedeli, ihale günü ve saatindeki TC Merkez Bankası kuru üzerinden hesaplanır)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bookmarkStart w:id="7" w:name="_GoBack"/>
      <w:bookmarkEnd w:id="7"/>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9C3C6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r w:rsidR="009C3C61">
        <w:rPr>
          <w:rFonts w:ascii="Times New Roman" w:eastAsia="Times New Roman" w:hAnsi="Times New Roman" w:cs="Times New Roman"/>
          <w:b/>
          <w:sz w:val="20"/>
          <w:szCs w:val="20"/>
          <w:lang w:eastAsia="tr-TR"/>
        </w:rPr>
        <w:t xml:space="preserve"> (GEREKMEMEKTEDİR)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9C3C61" w:rsidRPr="009C3C61" w:rsidRDefault="00230D41" w:rsidP="009C3C61">
      <w:pPr>
        <w:pStyle w:val="ListeParagraf"/>
        <w:numPr>
          <w:ilvl w:val="0"/>
          <w:numId w:val="1"/>
        </w:numPr>
        <w:spacing w:before="120" w:after="120" w:line="240" w:lineRule="auto"/>
        <w:jc w:val="both"/>
        <w:rPr>
          <w:rFonts w:ascii="Times New Roman" w:eastAsia="Times New Roman" w:hAnsi="Times New Roman" w:cs="Times New Roman"/>
          <w:i/>
          <w:color w:val="000000"/>
          <w:sz w:val="20"/>
          <w:szCs w:val="24"/>
          <w:lang w:eastAsia="tr-TR"/>
        </w:rPr>
      </w:pPr>
      <w:r w:rsidRPr="009C3C61">
        <w:rPr>
          <w:rFonts w:ascii="Times New Roman" w:eastAsia="Times New Roman" w:hAnsi="Times New Roman" w:cs="Times New Roman"/>
          <w:bCs/>
          <w:color w:val="000000"/>
          <w:sz w:val="20"/>
          <w:szCs w:val="24"/>
          <w:lang w:eastAsia="tr-TR"/>
        </w:rPr>
        <w:t>Taahhütlü posta  / kargo servisi</w:t>
      </w:r>
      <w:proofErr w:type="gramStart"/>
      <w:r w:rsidRPr="009C3C61">
        <w:rPr>
          <w:rFonts w:ascii="Times New Roman" w:eastAsia="Times New Roman" w:hAnsi="Times New Roman" w:cs="Times New Roman"/>
          <w:bCs/>
          <w:color w:val="000000"/>
          <w:sz w:val="20"/>
          <w:szCs w:val="24"/>
          <w:lang w:eastAsia="tr-TR"/>
        </w:rPr>
        <w:t>)</w:t>
      </w:r>
      <w:proofErr w:type="gramEnd"/>
      <w:r w:rsidRPr="009C3C61">
        <w:rPr>
          <w:rFonts w:ascii="Times New Roman" w:eastAsia="Times New Roman" w:hAnsi="Times New Roman" w:cs="Times New Roman"/>
          <w:bCs/>
          <w:color w:val="000000"/>
          <w:sz w:val="20"/>
          <w:szCs w:val="24"/>
          <w:lang w:eastAsia="tr-TR"/>
        </w:rPr>
        <w:t xml:space="preserve"> ile </w:t>
      </w:r>
      <w:r w:rsidR="009C3C61" w:rsidRPr="009C3C61">
        <w:rPr>
          <w:rFonts w:ascii="Times New Roman" w:eastAsia="Times New Roman" w:hAnsi="Times New Roman" w:cs="Times New Roman"/>
          <w:bCs/>
          <w:color w:val="000000"/>
          <w:sz w:val="20"/>
          <w:szCs w:val="24"/>
          <w:lang w:eastAsia="tr-TR"/>
        </w:rPr>
        <w:t>ADANA HACI SABANCI ORG. SAN. BÖLG. ATATÜRK BULV. NO:61 Yüreğir/ADANA</w:t>
      </w:r>
    </w:p>
    <w:p w:rsidR="00230D41" w:rsidRPr="009C3C61" w:rsidRDefault="00230D41" w:rsidP="009C3C61">
      <w:pPr>
        <w:pStyle w:val="ListeParagraf"/>
        <w:numPr>
          <w:ilvl w:val="0"/>
          <w:numId w:val="1"/>
        </w:numPr>
        <w:spacing w:before="120" w:after="120" w:line="240" w:lineRule="auto"/>
        <w:jc w:val="both"/>
        <w:rPr>
          <w:rFonts w:ascii="Times New Roman" w:eastAsia="Times New Roman" w:hAnsi="Times New Roman" w:cs="Times New Roman"/>
          <w:i/>
          <w:color w:val="000000"/>
          <w:sz w:val="20"/>
          <w:szCs w:val="24"/>
          <w:lang w:eastAsia="tr-TR"/>
        </w:rPr>
      </w:pPr>
      <w:r w:rsidRPr="009C3C61">
        <w:rPr>
          <w:rFonts w:ascii="Times New Roman" w:eastAsia="Times New Roman" w:hAnsi="Times New Roman" w:cs="Times New Roman"/>
          <w:b/>
          <w:color w:val="000000"/>
          <w:sz w:val="20"/>
          <w:szCs w:val="24"/>
          <w:lang w:eastAsia="tr-TR"/>
        </w:rPr>
        <w:t xml:space="preserve">Ya da </w:t>
      </w:r>
      <w:r w:rsidRPr="009C3C61">
        <w:rPr>
          <w:rFonts w:ascii="Times New Roman" w:eastAsia="Times New Roman" w:hAnsi="Times New Roman" w:cs="Times New Roman"/>
          <w:bCs/>
          <w:color w:val="000000"/>
          <w:sz w:val="20"/>
          <w:szCs w:val="24"/>
          <w:lang w:eastAsia="tr-TR"/>
        </w:rPr>
        <w:t xml:space="preserve">Sözleşme Makamına doğrudan elden </w:t>
      </w:r>
      <w:r w:rsidR="009C3C61" w:rsidRPr="009C3C61">
        <w:rPr>
          <w:rFonts w:ascii="Times New Roman" w:eastAsia="Times New Roman" w:hAnsi="Times New Roman" w:cs="Times New Roman"/>
          <w:i/>
          <w:color w:val="000000"/>
          <w:sz w:val="20"/>
          <w:szCs w:val="24"/>
          <w:lang w:eastAsia="tr-TR"/>
        </w:rPr>
        <w:t>ADANA HACI SABANCI ORG. SAN. BÖLG. ATATÜRK BULV. NO:61 Yüreğir/ADANA</w:t>
      </w:r>
      <w:r w:rsidRPr="009C3C61">
        <w:rPr>
          <w:rFonts w:ascii="Times New Roman" w:eastAsia="Times New Roman" w:hAnsi="Times New Roman" w:cs="Times New Roman"/>
          <w:color w:val="000000"/>
          <w:sz w:val="20"/>
          <w:szCs w:val="24"/>
          <w:lang w:eastAsia="tr-TR"/>
        </w:rPr>
        <w:t xml:space="preserve"> </w:t>
      </w:r>
      <w:r w:rsidRPr="009C3C61">
        <w:rPr>
          <w:rFonts w:ascii="Times New Roman" w:eastAsia="Times New Roman" w:hAnsi="Times New Roman" w:cs="Times New Roman"/>
          <w:bCs/>
          <w:color w:val="000000"/>
          <w:sz w:val="20"/>
          <w:szCs w:val="24"/>
          <w:lang w:eastAsia="tr-TR"/>
        </w:rPr>
        <w:t xml:space="preserve">teslim (kurye servisleri de </w:t>
      </w:r>
      <w:proofErr w:type="gramStart"/>
      <w:r w:rsidRPr="009C3C61">
        <w:rPr>
          <w:rFonts w:ascii="Times New Roman" w:eastAsia="Times New Roman" w:hAnsi="Times New Roman" w:cs="Times New Roman"/>
          <w:bCs/>
          <w:color w:val="000000"/>
          <w:sz w:val="20"/>
          <w:szCs w:val="24"/>
          <w:lang w:eastAsia="tr-TR"/>
        </w:rPr>
        <w:t>dahil</w:t>
      </w:r>
      <w:proofErr w:type="gramEnd"/>
      <w:r w:rsidRPr="009C3C6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513" w:rsidRDefault="00E64513">
      <w:pPr>
        <w:spacing w:after="0" w:line="240" w:lineRule="auto"/>
      </w:pPr>
      <w:r>
        <w:separator/>
      </w:r>
    </w:p>
  </w:endnote>
  <w:endnote w:type="continuationSeparator" w:id="0">
    <w:p w:rsidR="00E64513" w:rsidRDefault="00E64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513" w:rsidRDefault="00E64513">
      <w:pPr>
        <w:spacing w:after="0" w:line="240" w:lineRule="auto"/>
      </w:pPr>
      <w:r>
        <w:separator/>
      </w:r>
    </w:p>
  </w:footnote>
  <w:footnote w:type="continuationSeparator" w:id="0">
    <w:p w:rsidR="00E64513" w:rsidRDefault="00E645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2FD5435"/>
    <w:multiLevelType w:val="hybridMultilevel"/>
    <w:tmpl w:val="23888430"/>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3"/>
  </w:num>
  <w:num w:numId="9">
    <w:abstractNumId w:val="10"/>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9434F"/>
    <w:rsid w:val="00230D41"/>
    <w:rsid w:val="0029402D"/>
    <w:rsid w:val="00372B39"/>
    <w:rsid w:val="005B6322"/>
    <w:rsid w:val="00601B9C"/>
    <w:rsid w:val="006C0F00"/>
    <w:rsid w:val="0074458B"/>
    <w:rsid w:val="00766BC6"/>
    <w:rsid w:val="00912647"/>
    <w:rsid w:val="00914DEE"/>
    <w:rsid w:val="00957DA3"/>
    <w:rsid w:val="009B18A2"/>
    <w:rsid w:val="009C3C61"/>
    <w:rsid w:val="009E3645"/>
    <w:rsid w:val="009F3161"/>
    <w:rsid w:val="00B1494D"/>
    <w:rsid w:val="00B46551"/>
    <w:rsid w:val="00C14F71"/>
    <w:rsid w:val="00C15800"/>
    <w:rsid w:val="00C50471"/>
    <w:rsid w:val="00C90277"/>
    <w:rsid w:val="00CB116C"/>
    <w:rsid w:val="00D1270E"/>
    <w:rsid w:val="00D858B7"/>
    <w:rsid w:val="00DC6435"/>
    <w:rsid w:val="00E64513"/>
    <w:rsid w:val="00EE5B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semiHidden/>
    <w:unhideWhenUsed/>
    <w:rsid w:val="00C14F71"/>
    <w:rPr>
      <w:color w:val="0563C1"/>
      <w:u w:val="single"/>
    </w:rPr>
  </w:style>
  <w:style w:type="paragraph" w:styleId="ListeParagraf">
    <w:name w:val="List Paragraph"/>
    <w:basedOn w:val="Normal"/>
    <w:uiPriority w:val="34"/>
    <w:qFormat/>
    <w:rsid w:val="009C3C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semiHidden/>
    <w:unhideWhenUsed/>
    <w:rsid w:val="00C14F71"/>
    <w:rPr>
      <w:color w:val="0563C1"/>
      <w:u w:val="single"/>
    </w:rPr>
  </w:style>
  <w:style w:type="paragraph" w:styleId="ListeParagraf">
    <w:name w:val="List Paragraph"/>
    <w:basedOn w:val="Normal"/>
    <w:uiPriority w:val="34"/>
    <w:qFormat/>
    <w:rsid w:val="009C3C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42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mizistenekeambalaj.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5067</Words>
  <Characters>28886</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15</cp:revision>
  <dcterms:created xsi:type="dcterms:W3CDTF">2012-04-18T15:10:00Z</dcterms:created>
  <dcterms:modified xsi:type="dcterms:W3CDTF">2014-08-11T10:45:00Z</dcterms:modified>
</cp:coreProperties>
</file>