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 xml:space="preserve">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97535B">
              <w:rPr>
                <w:position w:val="-2"/>
                <w:sz w:val="20"/>
                <w:szCs w:val="20"/>
              </w:rPr>
              <w:t>Tarsus Tarımı Mevcut Durum Araştırması</w:t>
            </w: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85164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085164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97535B">
              <w:rPr>
                <w:position w:val="-2"/>
                <w:sz w:val="20"/>
                <w:szCs w:val="20"/>
              </w:rPr>
              <w:t>Tarsus tarımında ihtisaslaşmayı teşvik edecek sistemlerin kurulması konusunda bir araştırma</w:t>
            </w:r>
          </w:p>
        </w:tc>
        <w:tc>
          <w:tcPr>
            <w:tcW w:w="1402" w:type="pct"/>
            <w:vAlign w:val="center"/>
          </w:tcPr>
          <w:p w:rsidR="00085164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085164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85164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085164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97535B">
              <w:rPr>
                <w:position w:val="-2"/>
                <w:sz w:val="20"/>
                <w:szCs w:val="20"/>
              </w:rPr>
              <w:t>TDİOSB kuruluşu ile ilgili teknik altyapı ihtiyacının belirlenmesi, bölgede yer alması öngörülen sektör</w:t>
            </w:r>
            <w:r>
              <w:rPr>
                <w:position w:val="-2"/>
                <w:sz w:val="20"/>
                <w:szCs w:val="20"/>
              </w:rPr>
              <w:t xml:space="preserve">ler ve kapasiteleri konusunda </w:t>
            </w:r>
            <w:r w:rsidRPr="0097535B">
              <w:rPr>
                <w:position w:val="-2"/>
                <w:sz w:val="20"/>
                <w:szCs w:val="20"/>
              </w:rPr>
              <w:t>araştırma</w:t>
            </w:r>
          </w:p>
        </w:tc>
        <w:tc>
          <w:tcPr>
            <w:tcW w:w="1402" w:type="pct"/>
            <w:vAlign w:val="center"/>
          </w:tcPr>
          <w:p w:rsidR="00085164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085164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085164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97535B">
              <w:rPr>
                <w:position w:val="-2"/>
                <w:sz w:val="20"/>
                <w:szCs w:val="20"/>
              </w:rPr>
              <w:t>TDİOSB yönetim biriminin yap</w:t>
            </w:r>
            <w:r>
              <w:rPr>
                <w:position w:val="-2"/>
                <w:sz w:val="20"/>
                <w:szCs w:val="20"/>
              </w:rPr>
              <w:t>ılanması konusunda</w:t>
            </w:r>
            <w:r w:rsidRPr="0097535B">
              <w:rPr>
                <w:position w:val="-2"/>
                <w:sz w:val="20"/>
                <w:szCs w:val="20"/>
              </w:rPr>
              <w:t xml:space="preserve"> araştırma</w:t>
            </w:r>
            <w:bookmarkStart w:id="2" w:name="_GoBack"/>
            <w:bookmarkEnd w:id="2"/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3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)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proofErr w:type="spellStart"/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  <w:proofErr w:type="spellEnd"/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Toplam 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Sözleşmenin uygulama süresi </w:t>
      </w:r>
      <w:proofErr w:type="spellStart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boyuca</w:t>
      </w:r>
      <w:proofErr w:type="spellEnd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4" w:name="_Toc134520816"/>
      <w:bookmarkStart w:id="5" w:name="_Toc134727209"/>
    </w:p>
    <w:bookmarkEnd w:id="4"/>
    <w:bookmarkEnd w:id="5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50" w:rsidRDefault="00CA7050" w:rsidP="00C82C17">
      <w:pPr>
        <w:spacing w:after="0" w:line="240" w:lineRule="auto"/>
      </w:pPr>
      <w:r>
        <w:separator/>
      </w:r>
    </w:p>
  </w:endnote>
  <w:endnote w:type="continuationSeparator" w:id="0">
    <w:p w:rsidR="00CA7050" w:rsidRDefault="00CA7050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50" w:rsidRDefault="00CA7050" w:rsidP="00C82C17">
      <w:pPr>
        <w:spacing w:after="0" w:line="240" w:lineRule="auto"/>
      </w:pPr>
      <w:r>
        <w:separator/>
      </w:r>
    </w:p>
  </w:footnote>
  <w:footnote w:type="continuationSeparator" w:id="0">
    <w:p w:rsidR="00CA7050" w:rsidRDefault="00CA7050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85164"/>
    <w:rsid w:val="000F36EC"/>
    <w:rsid w:val="00367A9F"/>
    <w:rsid w:val="00957DA3"/>
    <w:rsid w:val="00C82C17"/>
    <w:rsid w:val="00CA1F78"/>
    <w:rsid w:val="00CA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AUK</cp:lastModifiedBy>
  <cp:revision>3</cp:revision>
  <dcterms:created xsi:type="dcterms:W3CDTF">2012-04-19T05:49:00Z</dcterms:created>
  <dcterms:modified xsi:type="dcterms:W3CDTF">2015-02-24T09:41:00Z</dcterms:modified>
</cp:coreProperties>
</file>