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5D491E"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  </w:t>
      </w:r>
      <w:r w:rsidRPr="005D491E">
        <w:rPr>
          <w:rFonts w:ascii="Times New Roman" w:eastAsia="Times New Roman" w:hAnsi="Times New Roman" w:cs="Times New Roman"/>
          <w:sz w:val="20"/>
          <w:szCs w:val="20"/>
          <w:lang w:eastAsia="tr-TR"/>
        </w:rPr>
        <w:t>Adı/</w:t>
      </w:r>
      <w:proofErr w:type="spellStart"/>
      <w:proofErr w:type="gramStart"/>
      <w:r w:rsidRPr="005D491E">
        <w:rPr>
          <w:rFonts w:ascii="Times New Roman" w:eastAsia="Times New Roman" w:hAnsi="Times New Roman" w:cs="Times New Roman"/>
          <w:sz w:val="20"/>
          <w:szCs w:val="20"/>
          <w:lang w:eastAsia="tr-TR"/>
        </w:rPr>
        <w:t>Ünvanı</w:t>
      </w:r>
      <w:proofErr w:type="spellEnd"/>
      <w:r w:rsidRPr="005D491E">
        <w:rPr>
          <w:rFonts w:ascii="Times New Roman" w:eastAsia="Times New Roman" w:hAnsi="Times New Roman" w:cs="Times New Roman"/>
          <w:sz w:val="20"/>
          <w:szCs w:val="20"/>
          <w:lang w:eastAsia="tr-TR"/>
        </w:rPr>
        <w:t xml:space="preserve"> </w:t>
      </w:r>
      <w:r w:rsidR="005D491E" w:rsidRPr="005D491E">
        <w:rPr>
          <w:rFonts w:ascii="Times New Roman" w:eastAsia="Times New Roman" w:hAnsi="Times New Roman" w:cs="Times New Roman"/>
          <w:sz w:val="20"/>
          <w:szCs w:val="20"/>
          <w:lang w:eastAsia="tr-TR"/>
        </w:rPr>
        <w:t xml:space="preserve">: </w:t>
      </w:r>
      <w:r w:rsidR="005D491E" w:rsidRPr="005D491E">
        <w:rPr>
          <w:rFonts w:ascii="Times New Roman" w:hAnsi="Times New Roman" w:cs="Times New Roman"/>
          <w:sz w:val="20"/>
          <w:szCs w:val="20"/>
        </w:rPr>
        <w:t>ADMER</w:t>
      </w:r>
      <w:proofErr w:type="gramEnd"/>
      <w:r w:rsidR="005D491E" w:rsidRPr="005D491E">
        <w:rPr>
          <w:rFonts w:ascii="Times New Roman" w:hAnsi="Times New Roman" w:cs="Times New Roman"/>
          <w:sz w:val="20"/>
          <w:szCs w:val="20"/>
        </w:rPr>
        <w:t xml:space="preserve"> </w:t>
      </w:r>
      <w:r w:rsidR="005D491E" w:rsidRPr="005D491E">
        <w:rPr>
          <w:rFonts w:ascii="Times New Roman" w:hAnsi="Times New Roman" w:cs="Times New Roman"/>
          <w:sz w:val="20"/>
          <w:szCs w:val="20"/>
          <w:shd w:val="clear" w:color="auto" w:fill="FCFDFD"/>
        </w:rPr>
        <w:t>Orman Ürünleri Ticaret Pazarlama Ltd. Şti</w:t>
      </w:r>
    </w:p>
    <w:p w:rsidR="00230D41" w:rsidRPr="005D491E"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5D491E">
        <w:rPr>
          <w:rFonts w:ascii="Times New Roman" w:eastAsia="Times New Roman" w:hAnsi="Times New Roman" w:cs="Times New Roman"/>
          <w:sz w:val="20"/>
          <w:szCs w:val="20"/>
          <w:lang w:eastAsia="tr-TR"/>
        </w:rPr>
        <w:t>b)  Adresi:</w:t>
      </w:r>
      <w:r w:rsidR="005D491E" w:rsidRPr="005D491E">
        <w:rPr>
          <w:rFonts w:ascii="Times New Roman" w:eastAsia="Times New Roman" w:hAnsi="Times New Roman" w:cs="Times New Roman"/>
          <w:sz w:val="20"/>
          <w:szCs w:val="20"/>
          <w:lang w:eastAsia="tr-TR"/>
        </w:rPr>
        <w:t xml:space="preserve"> </w:t>
      </w:r>
      <w:r w:rsidR="005D491E" w:rsidRPr="005D491E">
        <w:rPr>
          <w:rFonts w:ascii="Times New Roman" w:hAnsi="Times New Roman" w:cs="Times New Roman"/>
          <w:sz w:val="20"/>
          <w:szCs w:val="20"/>
        </w:rPr>
        <w:t xml:space="preserve">Mustafa Kemal Mah. </w:t>
      </w:r>
      <w:r w:rsidR="005D491E" w:rsidRPr="005D491E">
        <w:rPr>
          <w:rFonts w:ascii="Times New Roman" w:hAnsi="Times New Roman" w:cs="Times New Roman"/>
          <w:sz w:val="20"/>
          <w:szCs w:val="20"/>
          <w:shd w:val="clear" w:color="auto" w:fill="FCFDFD"/>
        </w:rPr>
        <w:t xml:space="preserve">Okan </w:t>
      </w:r>
      <w:proofErr w:type="spellStart"/>
      <w:r w:rsidR="005D491E" w:rsidRPr="005D491E">
        <w:rPr>
          <w:rFonts w:ascii="Times New Roman" w:hAnsi="Times New Roman" w:cs="Times New Roman"/>
          <w:sz w:val="20"/>
          <w:szCs w:val="20"/>
          <w:shd w:val="clear" w:color="auto" w:fill="FCFDFD"/>
        </w:rPr>
        <w:t>Merzeci</w:t>
      </w:r>
      <w:proofErr w:type="spellEnd"/>
      <w:r w:rsidR="005D491E" w:rsidRPr="005D491E">
        <w:rPr>
          <w:rFonts w:ascii="Times New Roman" w:hAnsi="Times New Roman" w:cs="Times New Roman"/>
          <w:sz w:val="20"/>
          <w:szCs w:val="20"/>
          <w:shd w:val="clear" w:color="auto" w:fill="FCFDFD"/>
        </w:rPr>
        <w:t xml:space="preserve"> </w:t>
      </w:r>
      <w:proofErr w:type="spellStart"/>
      <w:r w:rsidR="005D491E" w:rsidRPr="005D491E">
        <w:rPr>
          <w:rFonts w:ascii="Times New Roman" w:hAnsi="Times New Roman" w:cs="Times New Roman"/>
          <w:sz w:val="20"/>
          <w:szCs w:val="20"/>
          <w:shd w:val="clear" w:color="auto" w:fill="FCFDFD"/>
        </w:rPr>
        <w:t>Blv</w:t>
      </w:r>
      <w:proofErr w:type="spellEnd"/>
      <w:r w:rsidR="005D491E" w:rsidRPr="005D491E">
        <w:rPr>
          <w:rFonts w:ascii="Times New Roman" w:hAnsi="Times New Roman" w:cs="Times New Roman"/>
          <w:sz w:val="20"/>
          <w:szCs w:val="20"/>
          <w:shd w:val="clear" w:color="auto" w:fill="FCFDFD"/>
        </w:rPr>
        <w:t xml:space="preserve">. 208.Cad. No:143/A </w:t>
      </w:r>
      <w:proofErr w:type="spellStart"/>
      <w:r w:rsidR="005D491E" w:rsidRPr="005D491E">
        <w:rPr>
          <w:rFonts w:ascii="Times New Roman" w:hAnsi="Times New Roman" w:cs="Times New Roman"/>
          <w:sz w:val="20"/>
          <w:szCs w:val="20"/>
          <w:shd w:val="clear" w:color="auto" w:fill="FCFDFD"/>
        </w:rPr>
        <w:t>Toroslar</w:t>
      </w:r>
      <w:proofErr w:type="spellEnd"/>
      <w:r w:rsidR="005D491E" w:rsidRPr="005D491E">
        <w:rPr>
          <w:rFonts w:ascii="Times New Roman" w:hAnsi="Times New Roman" w:cs="Times New Roman"/>
          <w:sz w:val="20"/>
          <w:szCs w:val="20"/>
          <w:shd w:val="clear" w:color="auto" w:fill="FCFDFD"/>
        </w:rPr>
        <w:t>/MERSİN</w:t>
      </w:r>
    </w:p>
    <w:p w:rsidR="00230D41" w:rsidRPr="005D491E" w:rsidRDefault="00230D41" w:rsidP="00230D41">
      <w:pPr>
        <w:spacing w:after="0" w:line="240" w:lineRule="auto"/>
        <w:ind w:left="708"/>
        <w:jc w:val="both"/>
        <w:rPr>
          <w:rFonts w:ascii="Times New Roman" w:eastAsia="Times New Roman" w:hAnsi="Times New Roman" w:cs="Times New Roman"/>
          <w:sz w:val="20"/>
          <w:szCs w:val="20"/>
          <w:lang w:eastAsia="tr-TR"/>
        </w:rPr>
      </w:pPr>
      <w:r w:rsidRPr="005D491E">
        <w:rPr>
          <w:rFonts w:ascii="Times New Roman" w:eastAsia="Times New Roman" w:hAnsi="Times New Roman" w:cs="Times New Roman"/>
          <w:sz w:val="20"/>
          <w:szCs w:val="20"/>
          <w:lang w:eastAsia="tr-TR"/>
        </w:rPr>
        <w:t>c)  Telefon numarası:</w:t>
      </w:r>
      <w:r w:rsidR="005D491E" w:rsidRPr="005D491E">
        <w:rPr>
          <w:rFonts w:ascii="Times New Roman" w:eastAsia="Times New Roman" w:hAnsi="Times New Roman" w:cs="Times New Roman"/>
          <w:sz w:val="20"/>
          <w:szCs w:val="20"/>
          <w:lang w:eastAsia="tr-TR"/>
        </w:rPr>
        <w:t xml:space="preserve"> 0 (324) 226 00 55</w:t>
      </w:r>
    </w:p>
    <w:p w:rsidR="00230D41" w:rsidRPr="005D491E" w:rsidRDefault="00230D41" w:rsidP="00230D41">
      <w:pPr>
        <w:spacing w:after="0" w:line="240" w:lineRule="auto"/>
        <w:ind w:left="708"/>
        <w:jc w:val="both"/>
        <w:rPr>
          <w:rFonts w:ascii="Times New Roman" w:eastAsia="Times New Roman" w:hAnsi="Times New Roman" w:cs="Times New Roman"/>
          <w:sz w:val="20"/>
          <w:szCs w:val="20"/>
          <w:lang w:eastAsia="tr-TR"/>
        </w:rPr>
      </w:pPr>
      <w:r w:rsidRPr="005D491E">
        <w:rPr>
          <w:rFonts w:ascii="Times New Roman" w:eastAsia="Times New Roman" w:hAnsi="Times New Roman" w:cs="Times New Roman"/>
          <w:sz w:val="20"/>
          <w:szCs w:val="20"/>
          <w:lang w:eastAsia="tr-TR"/>
        </w:rPr>
        <w:t>d)  Faks numarası:</w:t>
      </w:r>
      <w:r w:rsidR="005D491E" w:rsidRPr="005D491E">
        <w:rPr>
          <w:rFonts w:ascii="Times New Roman" w:eastAsia="Times New Roman" w:hAnsi="Times New Roman" w:cs="Times New Roman"/>
          <w:sz w:val="20"/>
          <w:szCs w:val="20"/>
          <w:lang w:eastAsia="tr-TR"/>
        </w:rPr>
        <w:t xml:space="preserve"> 0 (324) 229 33 03</w:t>
      </w:r>
    </w:p>
    <w:p w:rsidR="00230D41" w:rsidRPr="005D491E" w:rsidRDefault="00230D41" w:rsidP="00230D41">
      <w:pPr>
        <w:spacing w:after="0" w:line="240" w:lineRule="auto"/>
        <w:jc w:val="both"/>
        <w:rPr>
          <w:rFonts w:ascii="Times New Roman" w:eastAsia="Times New Roman" w:hAnsi="Times New Roman" w:cs="Times New Roman"/>
          <w:sz w:val="20"/>
          <w:szCs w:val="20"/>
          <w:lang w:eastAsia="tr-TR"/>
        </w:rPr>
      </w:pPr>
      <w:r w:rsidRPr="005D491E">
        <w:rPr>
          <w:rFonts w:ascii="Times New Roman" w:eastAsia="Times New Roman" w:hAnsi="Times New Roman" w:cs="Times New Roman"/>
          <w:sz w:val="20"/>
          <w:szCs w:val="20"/>
          <w:lang w:eastAsia="tr-TR"/>
        </w:rPr>
        <w:t xml:space="preserve">              e)  Elektronik posta adresi</w:t>
      </w:r>
      <w:r w:rsidR="005D491E" w:rsidRPr="005D491E">
        <w:rPr>
          <w:rFonts w:ascii="Times New Roman" w:eastAsia="Times New Roman" w:hAnsi="Times New Roman" w:cs="Times New Roman"/>
          <w:sz w:val="20"/>
          <w:szCs w:val="20"/>
          <w:lang w:eastAsia="tr-TR"/>
        </w:rPr>
        <w:t xml:space="preserve">: </w:t>
      </w:r>
      <w:r w:rsidR="005D491E" w:rsidRPr="005D491E">
        <w:rPr>
          <w:rFonts w:ascii="Times New Roman" w:hAnsi="Times New Roman" w:cs="Times New Roman"/>
          <w:sz w:val="20"/>
          <w:szCs w:val="20"/>
          <w:shd w:val="clear" w:color="auto" w:fill="FFFFFF"/>
        </w:rPr>
        <w:t>o.ozcan@admer.com.tr</w:t>
      </w:r>
    </w:p>
    <w:p w:rsidR="00230D41" w:rsidRPr="005D491E" w:rsidRDefault="00230D41" w:rsidP="00230D41">
      <w:pPr>
        <w:spacing w:after="0" w:line="240" w:lineRule="auto"/>
        <w:ind w:left="708"/>
        <w:jc w:val="both"/>
        <w:rPr>
          <w:rFonts w:ascii="Times New Roman" w:eastAsia="Times New Roman" w:hAnsi="Times New Roman" w:cs="Times New Roman"/>
          <w:sz w:val="20"/>
          <w:szCs w:val="20"/>
          <w:lang w:eastAsia="tr-TR"/>
        </w:rPr>
      </w:pPr>
      <w:r w:rsidRPr="005D491E">
        <w:rPr>
          <w:rFonts w:ascii="Times New Roman" w:eastAsia="Times New Roman" w:hAnsi="Times New Roman" w:cs="Times New Roman"/>
          <w:sz w:val="20"/>
          <w:szCs w:val="20"/>
          <w:lang w:eastAsia="tr-TR"/>
        </w:rPr>
        <w:t>f)  İlgili personelinin adı-soyadı/unvanı:</w:t>
      </w:r>
      <w:r w:rsidR="005D491E" w:rsidRPr="005D491E">
        <w:rPr>
          <w:rFonts w:ascii="Times New Roman" w:eastAsia="Times New Roman" w:hAnsi="Times New Roman" w:cs="Times New Roman"/>
          <w:sz w:val="20"/>
          <w:szCs w:val="20"/>
          <w:lang w:eastAsia="tr-TR"/>
        </w:rPr>
        <w:t xml:space="preserve"> Özcan </w:t>
      </w:r>
      <w:proofErr w:type="spellStart"/>
      <w:r w:rsidR="005D491E" w:rsidRPr="005D491E">
        <w:rPr>
          <w:rFonts w:ascii="Times New Roman" w:eastAsia="Times New Roman" w:hAnsi="Times New Roman" w:cs="Times New Roman"/>
          <w:sz w:val="20"/>
          <w:szCs w:val="20"/>
          <w:lang w:eastAsia="tr-TR"/>
        </w:rPr>
        <w:t>ÖZCAN</w:t>
      </w:r>
      <w:proofErr w:type="spellEnd"/>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5D491E" w:rsidRPr="005D491E" w:rsidRDefault="0029402D" w:rsidP="005D491E">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sz w:val="20"/>
          <w:szCs w:val="20"/>
          <w:shd w:val="clear" w:color="auto" w:fill="FCFDFD"/>
        </w:rPr>
      </w:pPr>
      <w:r w:rsidRPr="005D491E">
        <w:rPr>
          <w:rFonts w:ascii="Times New Roman" w:eastAsia="Times New Roman" w:hAnsi="Times New Roman" w:cs="Times New Roman"/>
          <w:sz w:val="20"/>
          <w:szCs w:val="20"/>
          <w:lang w:eastAsia="tr-TR"/>
        </w:rPr>
        <w:t>Projen</w:t>
      </w:r>
      <w:r w:rsidR="00230D41" w:rsidRPr="005D491E">
        <w:rPr>
          <w:rFonts w:ascii="Times New Roman" w:eastAsia="Times New Roman" w:hAnsi="Times New Roman" w:cs="Times New Roman"/>
          <w:sz w:val="20"/>
          <w:szCs w:val="20"/>
          <w:lang w:eastAsia="tr-TR"/>
        </w:rPr>
        <w:t xml:space="preserve">in Adı: </w:t>
      </w:r>
      <w:r w:rsidR="005D491E" w:rsidRPr="005D491E">
        <w:rPr>
          <w:rFonts w:ascii="Times New Roman" w:hAnsi="Times New Roman" w:cs="Times New Roman"/>
          <w:sz w:val="20"/>
          <w:szCs w:val="24"/>
          <w:shd w:val="clear" w:color="auto" w:fill="FCFDFD"/>
        </w:rPr>
        <w:t xml:space="preserve">Endüstriyel Tasarım Tescilli Mobilya Elemanları İmalatı ile Markalaşma ve </w:t>
      </w:r>
      <w:proofErr w:type="spellStart"/>
      <w:r w:rsidR="005D491E" w:rsidRPr="005D491E">
        <w:rPr>
          <w:rFonts w:ascii="Times New Roman" w:hAnsi="Times New Roman" w:cs="Times New Roman"/>
          <w:sz w:val="20"/>
          <w:szCs w:val="24"/>
          <w:shd w:val="clear" w:color="auto" w:fill="FCFDFD"/>
        </w:rPr>
        <w:t>Uluslarasılaşma</w:t>
      </w:r>
      <w:proofErr w:type="spellEnd"/>
    </w:p>
    <w:p w:rsidR="00230D41" w:rsidRPr="005D491E" w:rsidRDefault="00230D41" w:rsidP="005D491E">
      <w:pPr>
        <w:numPr>
          <w:ilvl w:val="0"/>
          <w:numId w:val="5"/>
        </w:numPr>
        <w:overflowPunct w:val="0"/>
        <w:autoSpaceDE w:val="0"/>
        <w:autoSpaceDN w:val="0"/>
        <w:adjustRightInd w:val="0"/>
        <w:spacing w:after="0" w:line="240" w:lineRule="auto"/>
        <w:ind w:left="1066"/>
        <w:jc w:val="both"/>
        <w:textAlignment w:val="baseline"/>
        <w:rPr>
          <w:rFonts w:ascii="Times New Roman" w:hAnsi="Times New Roman" w:cs="Times New Roman"/>
          <w:sz w:val="20"/>
          <w:szCs w:val="20"/>
          <w:shd w:val="clear" w:color="auto" w:fill="FCFDFD"/>
        </w:rPr>
      </w:pPr>
      <w:r w:rsidRPr="005D491E">
        <w:rPr>
          <w:rFonts w:ascii="Times New Roman" w:eastAsia="Times New Roman" w:hAnsi="Times New Roman" w:cs="Times New Roman"/>
          <w:sz w:val="20"/>
          <w:szCs w:val="20"/>
          <w:lang w:eastAsia="tr-TR"/>
        </w:rPr>
        <w:t xml:space="preserve">Sözleşme kodu: </w:t>
      </w:r>
      <w:r w:rsidR="005D491E" w:rsidRPr="005D491E">
        <w:rPr>
          <w:rFonts w:ascii="Times New Roman" w:hAnsi="Times New Roman" w:cs="Times New Roman"/>
          <w:sz w:val="20"/>
          <w:szCs w:val="20"/>
          <w:shd w:val="clear" w:color="auto" w:fill="FCFDFD"/>
        </w:rPr>
        <w:t>TR62/14/BREY/0189</w:t>
      </w:r>
    </w:p>
    <w:p w:rsidR="00230D41" w:rsidRPr="005D491E" w:rsidRDefault="00230D41" w:rsidP="005D491E">
      <w:pPr>
        <w:numPr>
          <w:ilvl w:val="0"/>
          <w:numId w:val="5"/>
        </w:numPr>
        <w:overflowPunct w:val="0"/>
        <w:autoSpaceDE w:val="0"/>
        <w:autoSpaceDN w:val="0"/>
        <w:adjustRightInd w:val="0"/>
        <w:spacing w:after="0" w:line="240" w:lineRule="auto"/>
        <w:ind w:left="1066"/>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5D491E">
        <w:rPr>
          <w:rFonts w:ascii="Times New Roman" w:eastAsia="Times New Roman" w:hAnsi="Times New Roman" w:cs="Times New Roman"/>
          <w:sz w:val="20"/>
          <w:szCs w:val="20"/>
          <w:lang w:eastAsia="tr-TR"/>
        </w:rPr>
        <w:t>Mal Alımı</w:t>
      </w:r>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Lot 1:</w:t>
      </w:r>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 xml:space="preserve">- Panel </w:t>
      </w:r>
      <w:proofErr w:type="spellStart"/>
      <w:r w:rsidRPr="005D491E">
        <w:rPr>
          <w:rFonts w:ascii="Times New Roman" w:hAnsi="Times New Roman" w:cs="Times New Roman"/>
          <w:sz w:val="20"/>
          <w:szCs w:val="20"/>
        </w:rPr>
        <w:t>Ebatlama</w:t>
      </w:r>
      <w:proofErr w:type="spellEnd"/>
      <w:r w:rsidRPr="005D491E">
        <w:rPr>
          <w:rFonts w:ascii="Times New Roman" w:hAnsi="Times New Roman" w:cs="Times New Roman"/>
          <w:sz w:val="20"/>
          <w:szCs w:val="20"/>
        </w:rPr>
        <w:t xml:space="preserve"> Makinesi</w:t>
      </w:r>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 Kenar Bandı Yapıştırma Makinesi</w:t>
      </w:r>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Lot 2:</w:t>
      </w:r>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 xml:space="preserve">- </w:t>
      </w:r>
      <w:proofErr w:type="spellStart"/>
      <w:r w:rsidRPr="005D491E">
        <w:rPr>
          <w:rFonts w:ascii="Times New Roman" w:hAnsi="Times New Roman" w:cs="Times New Roman"/>
          <w:sz w:val="20"/>
          <w:szCs w:val="20"/>
        </w:rPr>
        <w:t>Forklift</w:t>
      </w:r>
      <w:proofErr w:type="spellEnd"/>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Lot 3:</w:t>
      </w:r>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 Kol Kilit Yeri Açma Makinesi</w:t>
      </w:r>
    </w:p>
    <w:p w:rsidR="005D491E" w:rsidRPr="005D491E" w:rsidRDefault="005D491E" w:rsidP="005D491E">
      <w:pPr>
        <w:pStyle w:val="ListeParagraf"/>
        <w:spacing w:after="0"/>
        <w:ind w:left="1066"/>
        <w:rPr>
          <w:rFonts w:ascii="Times New Roman" w:hAnsi="Times New Roman" w:cs="Times New Roman"/>
          <w:sz w:val="20"/>
          <w:szCs w:val="20"/>
        </w:rPr>
      </w:pPr>
      <w:r w:rsidRPr="005D491E">
        <w:rPr>
          <w:rFonts w:ascii="Times New Roman" w:hAnsi="Times New Roman" w:cs="Times New Roman"/>
          <w:sz w:val="20"/>
          <w:szCs w:val="20"/>
        </w:rPr>
        <w:t xml:space="preserve">- Kasa </w:t>
      </w:r>
      <w:proofErr w:type="spellStart"/>
      <w:r w:rsidRPr="005D491E">
        <w:rPr>
          <w:rFonts w:ascii="Times New Roman" w:hAnsi="Times New Roman" w:cs="Times New Roman"/>
          <w:sz w:val="20"/>
          <w:szCs w:val="20"/>
        </w:rPr>
        <w:t>Ebatlama</w:t>
      </w:r>
      <w:proofErr w:type="spellEnd"/>
      <w:r w:rsidRPr="005D491E">
        <w:rPr>
          <w:rFonts w:ascii="Times New Roman" w:hAnsi="Times New Roman" w:cs="Times New Roman"/>
          <w:sz w:val="20"/>
          <w:szCs w:val="20"/>
        </w:rPr>
        <w:t xml:space="preserve"> Makinesi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5D491E" w:rsidRPr="005D491E">
        <w:rPr>
          <w:rFonts w:ascii="Times New Roman" w:hAnsi="Times New Roman" w:cs="Times New Roman"/>
          <w:sz w:val="20"/>
          <w:szCs w:val="20"/>
        </w:rPr>
        <w:t xml:space="preserve">Mustafa Kemal Mah. </w:t>
      </w:r>
      <w:r w:rsidR="005D491E" w:rsidRPr="005D491E">
        <w:rPr>
          <w:rFonts w:ascii="Times New Roman" w:hAnsi="Times New Roman" w:cs="Times New Roman"/>
          <w:sz w:val="20"/>
          <w:szCs w:val="20"/>
          <w:shd w:val="clear" w:color="auto" w:fill="FCFDFD"/>
        </w:rPr>
        <w:t xml:space="preserve">Okan </w:t>
      </w:r>
      <w:proofErr w:type="spellStart"/>
      <w:r w:rsidR="005D491E" w:rsidRPr="005D491E">
        <w:rPr>
          <w:rFonts w:ascii="Times New Roman" w:hAnsi="Times New Roman" w:cs="Times New Roman"/>
          <w:sz w:val="20"/>
          <w:szCs w:val="20"/>
          <w:shd w:val="clear" w:color="auto" w:fill="FCFDFD"/>
        </w:rPr>
        <w:t>Merzeci</w:t>
      </w:r>
      <w:proofErr w:type="spellEnd"/>
      <w:r w:rsidR="005D491E" w:rsidRPr="005D491E">
        <w:rPr>
          <w:rFonts w:ascii="Times New Roman" w:hAnsi="Times New Roman" w:cs="Times New Roman"/>
          <w:sz w:val="20"/>
          <w:szCs w:val="20"/>
          <w:shd w:val="clear" w:color="auto" w:fill="FCFDFD"/>
        </w:rPr>
        <w:t xml:space="preserve"> </w:t>
      </w:r>
      <w:proofErr w:type="spellStart"/>
      <w:r w:rsidR="005D491E" w:rsidRPr="005D491E">
        <w:rPr>
          <w:rFonts w:ascii="Times New Roman" w:hAnsi="Times New Roman" w:cs="Times New Roman"/>
          <w:sz w:val="20"/>
          <w:szCs w:val="20"/>
          <w:shd w:val="clear" w:color="auto" w:fill="FCFDFD"/>
        </w:rPr>
        <w:t>Blv</w:t>
      </w:r>
      <w:proofErr w:type="spellEnd"/>
      <w:r w:rsidR="005D491E" w:rsidRPr="005D491E">
        <w:rPr>
          <w:rFonts w:ascii="Times New Roman" w:hAnsi="Times New Roman" w:cs="Times New Roman"/>
          <w:sz w:val="20"/>
          <w:szCs w:val="20"/>
          <w:shd w:val="clear" w:color="auto" w:fill="FCFDFD"/>
        </w:rPr>
        <w:t xml:space="preserve">. 208.Cad. No:143/A </w:t>
      </w:r>
      <w:proofErr w:type="spellStart"/>
      <w:r w:rsidR="005D491E" w:rsidRPr="005D491E">
        <w:rPr>
          <w:rFonts w:ascii="Times New Roman" w:hAnsi="Times New Roman" w:cs="Times New Roman"/>
          <w:sz w:val="20"/>
          <w:szCs w:val="20"/>
          <w:shd w:val="clear" w:color="auto" w:fill="FCFDFD"/>
        </w:rPr>
        <w:t>Toroslar</w:t>
      </w:r>
      <w:proofErr w:type="spellEnd"/>
      <w:r w:rsidR="005D491E" w:rsidRPr="005D491E">
        <w:rPr>
          <w:rFonts w:ascii="Times New Roman" w:hAnsi="Times New Roman" w:cs="Times New Roman"/>
          <w:sz w:val="20"/>
          <w:szCs w:val="20"/>
          <w:shd w:val="clear" w:color="auto" w:fill="FCFDFD"/>
        </w:rPr>
        <w:t>/MERSİN</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5D491E">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5D491E">
        <w:rPr>
          <w:rFonts w:ascii="Times New Roman" w:eastAsia="Times New Roman" w:hAnsi="Times New Roman" w:cs="Times New Roman"/>
          <w:sz w:val="20"/>
          <w:szCs w:val="20"/>
          <w:lang w:eastAsia="tr-TR"/>
        </w:rPr>
        <w:t>Açık İhale Usulü</w:t>
      </w:r>
    </w:p>
    <w:p w:rsidR="005D491E" w:rsidRPr="00230D41" w:rsidRDefault="00230D41" w:rsidP="005D491E">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w:t>
      </w:r>
      <w:r w:rsidR="005D491E">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İhalenin yapılacağı adres: </w:t>
      </w:r>
      <w:r w:rsidR="005D491E" w:rsidRPr="005D491E">
        <w:rPr>
          <w:rFonts w:ascii="Times New Roman" w:hAnsi="Times New Roman" w:cs="Times New Roman"/>
          <w:sz w:val="20"/>
          <w:szCs w:val="20"/>
        </w:rPr>
        <w:t xml:space="preserve">Mustafa Kemal Mah. </w:t>
      </w:r>
      <w:r w:rsidR="005D491E" w:rsidRPr="005D491E">
        <w:rPr>
          <w:rFonts w:ascii="Times New Roman" w:hAnsi="Times New Roman" w:cs="Times New Roman"/>
          <w:sz w:val="20"/>
          <w:szCs w:val="20"/>
          <w:shd w:val="clear" w:color="auto" w:fill="FCFDFD"/>
        </w:rPr>
        <w:t xml:space="preserve">Okan </w:t>
      </w:r>
      <w:proofErr w:type="spellStart"/>
      <w:r w:rsidR="005D491E" w:rsidRPr="005D491E">
        <w:rPr>
          <w:rFonts w:ascii="Times New Roman" w:hAnsi="Times New Roman" w:cs="Times New Roman"/>
          <w:sz w:val="20"/>
          <w:szCs w:val="20"/>
          <w:shd w:val="clear" w:color="auto" w:fill="FCFDFD"/>
        </w:rPr>
        <w:t>Merzeci</w:t>
      </w:r>
      <w:proofErr w:type="spellEnd"/>
      <w:r w:rsidR="005D491E" w:rsidRPr="005D491E">
        <w:rPr>
          <w:rFonts w:ascii="Times New Roman" w:hAnsi="Times New Roman" w:cs="Times New Roman"/>
          <w:sz w:val="20"/>
          <w:szCs w:val="20"/>
          <w:shd w:val="clear" w:color="auto" w:fill="FCFDFD"/>
        </w:rPr>
        <w:t xml:space="preserve"> </w:t>
      </w:r>
      <w:proofErr w:type="spellStart"/>
      <w:r w:rsidR="005D491E" w:rsidRPr="005D491E">
        <w:rPr>
          <w:rFonts w:ascii="Times New Roman" w:hAnsi="Times New Roman" w:cs="Times New Roman"/>
          <w:sz w:val="20"/>
          <w:szCs w:val="20"/>
          <w:shd w:val="clear" w:color="auto" w:fill="FCFDFD"/>
        </w:rPr>
        <w:t>Blv</w:t>
      </w:r>
      <w:proofErr w:type="spellEnd"/>
      <w:r w:rsidR="005D491E" w:rsidRPr="005D491E">
        <w:rPr>
          <w:rFonts w:ascii="Times New Roman" w:hAnsi="Times New Roman" w:cs="Times New Roman"/>
          <w:sz w:val="20"/>
          <w:szCs w:val="20"/>
          <w:shd w:val="clear" w:color="auto" w:fill="FCFDFD"/>
        </w:rPr>
        <w:t xml:space="preserve">. 208.Cad. No:143/A </w:t>
      </w:r>
      <w:proofErr w:type="spellStart"/>
      <w:r w:rsidR="005D491E" w:rsidRPr="005D491E">
        <w:rPr>
          <w:rFonts w:ascii="Times New Roman" w:hAnsi="Times New Roman" w:cs="Times New Roman"/>
          <w:sz w:val="20"/>
          <w:szCs w:val="20"/>
          <w:shd w:val="clear" w:color="auto" w:fill="FCFDFD"/>
        </w:rPr>
        <w:t>Toroslar</w:t>
      </w:r>
      <w:proofErr w:type="spellEnd"/>
      <w:r w:rsidR="005D491E" w:rsidRPr="005D491E">
        <w:rPr>
          <w:rFonts w:ascii="Times New Roman" w:hAnsi="Times New Roman" w:cs="Times New Roman"/>
          <w:sz w:val="20"/>
          <w:szCs w:val="20"/>
          <w:shd w:val="clear" w:color="auto" w:fill="FCFDFD"/>
        </w:rPr>
        <w:t>/MERSİN</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9805C2">
        <w:rPr>
          <w:rFonts w:ascii="Times New Roman" w:eastAsia="Times New Roman" w:hAnsi="Times New Roman" w:cs="Times New Roman"/>
          <w:sz w:val="20"/>
          <w:szCs w:val="20"/>
          <w:lang w:eastAsia="tr-TR"/>
        </w:rPr>
        <w:t>12.08.2014</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5D491E">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D491E">
        <w:rPr>
          <w:rFonts w:ascii="Times New Roman" w:eastAsia="Times New Roman" w:hAnsi="Times New Roman" w:cs="Times New Roman"/>
          <w:sz w:val="20"/>
          <w:szCs w:val="20"/>
          <w:lang w:eastAsia="tr-TR"/>
        </w:rPr>
        <w:t xml:space="preserve">bedelsiz imza karşılığı teslim almak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5D491E">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5D491E" w:rsidRPr="005D491E">
        <w:rPr>
          <w:rFonts w:ascii="Times New Roman" w:hAnsi="Times New Roman" w:cs="Times New Roman"/>
          <w:sz w:val="20"/>
          <w:szCs w:val="20"/>
        </w:rPr>
        <w:t xml:space="preserve">Mustafa Kemal Mah. </w:t>
      </w:r>
      <w:r w:rsidR="005D491E" w:rsidRPr="005D491E">
        <w:rPr>
          <w:rFonts w:ascii="Times New Roman" w:hAnsi="Times New Roman" w:cs="Times New Roman"/>
          <w:sz w:val="20"/>
          <w:szCs w:val="20"/>
          <w:shd w:val="clear" w:color="auto" w:fill="FCFDFD"/>
        </w:rPr>
        <w:t xml:space="preserve">Okan </w:t>
      </w:r>
      <w:proofErr w:type="spellStart"/>
      <w:r w:rsidR="005D491E" w:rsidRPr="005D491E">
        <w:rPr>
          <w:rFonts w:ascii="Times New Roman" w:hAnsi="Times New Roman" w:cs="Times New Roman"/>
          <w:sz w:val="20"/>
          <w:szCs w:val="20"/>
          <w:shd w:val="clear" w:color="auto" w:fill="FCFDFD"/>
        </w:rPr>
        <w:t>Merzeci</w:t>
      </w:r>
      <w:proofErr w:type="spellEnd"/>
      <w:r w:rsidR="005D491E" w:rsidRPr="005D491E">
        <w:rPr>
          <w:rFonts w:ascii="Times New Roman" w:hAnsi="Times New Roman" w:cs="Times New Roman"/>
          <w:sz w:val="20"/>
          <w:szCs w:val="20"/>
          <w:shd w:val="clear" w:color="auto" w:fill="FCFDFD"/>
        </w:rPr>
        <w:t xml:space="preserve"> </w:t>
      </w:r>
      <w:proofErr w:type="spellStart"/>
      <w:r w:rsidR="005D491E" w:rsidRPr="005D491E">
        <w:rPr>
          <w:rFonts w:ascii="Times New Roman" w:hAnsi="Times New Roman" w:cs="Times New Roman"/>
          <w:sz w:val="20"/>
          <w:szCs w:val="20"/>
          <w:shd w:val="clear" w:color="auto" w:fill="FCFDFD"/>
        </w:rPr>
        <w:t>Blv</w:t>
      </w:r>
      <w:proofErr w:type="spellEnd"/>
      <w:r w:rsidR="005D491E" w:rsidRPr="005D491E">
        <w:rPr>
          <w:rFonts w:ascii="Times New Roman" w:hAnsi="Times New Roman" w:cs="Times New Roman"/>
          <w:sz w:val="20"/>
          <w:szCs w:val="20"/>
          <w:shd w:val="clear" w:color="auto" w:fill="FCFDFD"/>
        </w:rPr>
        <w:t xml:space="preserve">. 208.Cad. No:143/A </w:t>
      </w:r>
      <w:proofErr w:type="spellStart"/>
      <w:r w:rsidR="005D491E" w:rsidRPr="005D491E">
        <w:rPr>
          <w:rFonts w:ascii="Times New Roman" w:hAnsi="Times New Roman" w:cs="Times New Roman"/>
          <w:sz w:val="20"/>
          <w:szCs w:val="20"/>
          <w:shd w:val="clear" w:color="auto" w:fill="FCFDFD"/>
        </w:rPr>
        <w:t>Toroslar</w:t>
      </w:r>
      <w:proofErr w:type="spellEnd"/>
      <w:r w:rsidR="005D491E" w:rsidRPr="005D491E">
        <w:rPr>
          <w:rFonts w:ascii="Times New Roman" w:hAnsi="Times New Roman" w:cs="Times New Roman"/>
          <w:sz w:val="20"/>
          <w:szCs w:val="20"/>
          <w:shd w:val="clear" w:color="auto" w:fill="FCFDFD"/>
        </w:rPr>
        <w:t>/MERSİN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9805C2">
        <w:rPr>
          <w:rFonts w:ascii="Times New Roman" w:eastAsia="Times New Roman" w:hAnsi="Times New Roman" w:cs="Times New Roman"/>
          <w:sz w:val="20"/>
          <w:szCs w:val="20"/>
          <w:lang w:eastAsia="tr-TR"/>
        </w:rPr>
        <w:t>12.08.2014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5D491E">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Bu </w:t>
      </w:r>
      <w:r w:rsidR="00A63A63">
        <w:rPr>
          <w:rFonts w:ascii="Times New Roman" w:eastAsia="Times New Roman" w:hAnsi="Times New Roman" w:cs="Times New Roman"/>
          <w:sz w:val="20"/>
          <w:szCs w:val="20"/>
          <w:lang w:eastAsia="tr-TR"/>
        </w:rPr>
        <w:t>ihale kapsamında</w:t>
      </w:r>
      <w:r w:rsidRPr="00230D41">
        <w:rPr>
          <w:rFonts w:ascii="Times New Roman" w:eastAsia="Times New Roman" w:hAnsi="Times New Roman" w:cs="Times New Roman"/>
          <w:sz w:val="20"/>
          <w:szCs w:val="20"/>
          <w:lang w:eastAsia="tr-TR"/>
        </w:rPr>
        <w:t xml:space="preserve"> geçici teminat</w:t>
      </w:r>
      <w:r w:rsidR="00A63A63">
        <w:rPr>
          <w:rFonts w:ascii="Times New Roman" w:eastAsia="Times New Roman" w:hAnsi="Times New Roman" w:cs="Times New Roman"/>
          <w:sz w:val="20"/>
          <w:szCs w:val="20"/>
          <w:lang w:eastAsia="tr-TR"/>
        </w:rPr>
        <w:t xml:space="preserve"> </w:t>
      </w:r>
      <w:r w:rsidR="00A63A63" w:rsidRPr="00A63A63">
        <w:rPr>
          <w:rFonts w:ascii="Times New Roman" w:eastAsia="Times New Roman" w:hAnsi="Times New Roman" w:cs="Times New Roman"/>
          <w:b/>
          <w:sz w:val="20"/>
          <w:szCs w:val="20"/>
          <w:u w:val="single"/>
          <w:lang w:eastAsia="tr-TR"/>
        </w:rPr>
        <w:t>istenmemektedir</w:t>
      </w:r>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5D491E">
        <w:rPr>
          <w:rFonts w:ascii="Times New Roman" w:eastAsia="Times New Roman" w:hAnsi="Times New Roman" w:cs="Times New Roman"/>
          <w:sz w:val="20"/>
          <w:szCs w:val="20"/>
        </w:rPr>
        <w:t>Sözleşme Makamı tarafından gerçekleştirilecek ihaleler sa</w:t>
      </w:r>
      <w:r w:rsidR="005D491E" w:rsidRPr="005D491E">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5D491E">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A63A63">
      <w:pPr>
        <w:keepNext/>
        <w:tabs>
          <w:tab w:val="left" w:pos="0"/>
        </w:tabs>
        <w:spacing w:after="0" w:line="36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A63A63" w:rsidRPr="00230D41" w:rsidRDefault="00A63A63" w:rsidP="00A63A63">
      <w:pPr>
        <w:keepNext/>
        <w:tabs>
          <w:tab w:val="left" w:pos="0"/>
        </w:tabs>
        <w:spacing w:after="0" w:line="36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w:t>
      </w:r>
      <w:r w:rsidRPr="004D7A4E">
        <w:rPr>
          <w:rFonts w:ascii="Times New Roman" w:eastAsia="Times New Roman" w:hAnsi="Times New Roman" w:cs="Times New Roman"/>
          <w:bCs/>
          <w:color w:val="000000"/>
          <w:sz w:val="20"/>
          <w:szCs w:val="24"/>
          <w:lang w:eastAsia="tr-TR"/>
        </w:rPr>
        <w:t xml:space="preserve">ile </w:t>
      </w:r>
      <w:r w:rsidR="004D7A4E" w:rsidRPr="004D7A4E">
        <w:rPr>
          <w:rFonts w:ascii="Times New Roman" w:hAnsi="Times New Roman" w:cs="Times New Roman"/>
          <w:sz w:val="20"/>
          <w:szCs w:val="20"/>
        </w:rPr>
        <w:t xml:space="preserve">Mustafa Kemal Mah. </w:t>
      </w:r>
      <w:r w:rsidR="004D7A4E" w:rsidRPr="004D7A4E">
        <w:rPr>
          <w:rFonts w:ascii="Times New Roman" w:hAnsi="Times New Roman" w:cs="Times New Roman"/>
          <w:color w:val="222222"/>
          <w:shd w:val="clear" w:color="auto" w:fill="FCFDFD"/>
        </w:rPr>
        <w:t xml:space="preserve">Okan </w:t>
      </w:r>
      <w:proofErr w:type="spellStart"/>
      <w:r w:rsidR="004D7A4E" w:rsidRPr="004D7A4E">
        <w:rPr>
          <w:rFonts w:ascii="Times New Roman" w:hAnsi="Times New Roman" w:cs="Times New Roman"/>
          <w:color w:val="222222"/>
          <w:shd w:val="clear" w:color="auto" w:fill="FCFDFD"/>
        </w:rPr>
        <w:t>Merzeci</w:t>
      </w:r>
      <w:proofErr w:type="spellEnd"/>
      <w:r w:rsidR="004D7A4E" w:rsidRPr="004D7A4E">
        <w:rPr>
          <w:rFonts w:ascii="Times New Roman" w:hAnsi="Times New Roman" w:cs="Times New Roman"/>
          <w:color w:val="222222"/>
          <w:shd w:val="clear" w:color="auto" w:fill="FCFDFD"/>
        </w:rPr>
        <w:t xml:space="preserve"> </w:t>
      </w:r>
      <w:proofErr w:type="spellStart"/>
      <w:r w:rsidR="004D7A4E" w:rsidRPr="004D7A4E">
        <w:rPr>
          <w:rFonts w:ascii="Times New Roman" w:hAnsi="Times New Roman" w:cs="Times New Roman"/>
          <w:color w:val="222222"/>
          <w:shd w:val="clear" w:color="auto" w:fill="FCFDFD"/>
        </w:rPr>
        <w:t>Blv</w:t>
      </w:r>
      <w:proofErr w:type="spellEnd"/>
      <w:r w:rsidR="004D7A4E" w:rsidRPr="004D7A4E">
        <w:rPr>
          <w:rFonts w:ascii="Times New Roman" w:hAnsi="Times New Roman" w:cs="Times New Roman"/>
          <w:color w:val="222222"/>
          <w:shd w:val="clear" w:color="auto" w:fill="FCFDFD"/>
        </w:rPr>
        <w:t xml:space="preserve">. 208.Cad. No:143/A </w:t>
      </w:r>
      <w:proofErr w:type="spellStart"/>
      <w:r w:rsidR="004D7A4E" w:rsidRPr="004D7A4E">
        <w:rPr>
          <w:rFonts w:ascii="Times New Roman" w:hAnsi="Times New Roman" w:cs="Times New Roman"/>
          <w:color w:val="222222"/>
          <w:shd w:val="clear" w:color="auto" w:fill="FCFDFD"/>
        </w:rPr>
        <w:t>Toroslar</w:t>
      </w:r>
      <w:proofErr w:type="spellEnd"/>
      <w:r w:rsidR="004D7A4E" w:rsidRPr="004D7A4E">
        <w:rPr>
          <w:rFonts w:ascii="Times New Roman" w:hAnsi="Times New Roman" w:cs="Times New Roman"/>
          <w:color w:val="222222"/>
          <w:shd w:val="clear" w:color="auto" w:fill="FCFDFD"/>
        </w:rPr>
        <w:t>/MERSİN</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4D7A4E" w:rsidRPr="004D7A4E">
        <w:rPr>
          <w:rFonts w:ascii="Times New Roman" w:hAnsi="Times New Roman" w:cs="Times New Roman"/>
          <w:sz w:val="20"/>
          <w:szCs w:val="20"/>
        </w:rPr>
        <w:t xml:space="preserve">Mustafa Kemal Mah. </w:t>
      </w:r>
      <w:r w:rsidR="004D7A4E" w:rsidRPr="004D7A4E">
        <w:rPr>
          <w:rFonts w:ascii="Times New Roman" w:hAnsi="Times New Roman" w:cs="Times New Roman"/>
          <w:color w:val="222222"/>
          <w:shd w:val="clear" w:color="auto" w:fill="FCFDFD"/>
        </w:rPr>
        <w:t xml:space="preserve">Okan </w:t>
      </w:r>
      <w:proofErr w:type="spellStart"/>
      <w:r w:rsidR="004D7A4E" w:rsidRPr="004D7A4E">
        <w:rPr>
          <w:rFonts w:ascii="Times New Roman" w:hAnsi="Times New Roman" w:cs="Times New Roman"/>
          <w:color w:val="222222"/>
          <w:shd w:val="clear" w:color="auto" w:fill="FCFDFD"/>
        </w:rPr>
        <w:t>Merzeci</w:t>
      </w:r>
      <w:proofErr w:type="spellEnd"/>
      <w:r w:rsidR="004D7A4E" w:rsidRPr="004D7A4E">
        <w:rPr>
          <w:rFonts w:ascii="Times New Roman" w:hAnsi="Times New Roman" w:cs="Times New Roman"/>
          <w:color w:val="222222"/>
          <w:shd w:val="clear" w:color="auto" w:fill="FCFDFD"/>
        </w:rPr>
        <w:t xml:space="preserve"> </w:t>
      </w:r>
      <w:proofErr w:type="spellStart"/>
      <w:r w:rsidR="004D7A4E" w:rsidRPr="004D7A4E">
        <w:rPr>
          <w:rFonts w:ascii="Times New Roman" w:hAnsi="Times New Roman" w:cs="Times New Roman"/>
          <w:color w:val="222222"/>
          <w:shd w:val="clear" w:color="auto" w:fill="FCFDFD"/>
        </w:rPr>
        <w:t>Blv</w:t>
      </w:r>
      <w:proofErr w:type="spellEnd"/>
      <w:r w:rsidR="004D7A4E" w:rsidRPr="004D7A4E">
        <w:rPr>
          <w:rFonts w:ascii="Times New Roman" w:hAnsi="Times New Roman" w:cs="Times New Roman"/>
          <w:color w:val="222222"/>
          <w:shd w:val="clear" w:color="auto" w:fill="FCFDFD"/>
        </w:rPr>
        <w:t xml:space="preserve">. 208.Cad. No:143/A </w:t>
      </w:r>
      <w:proofErr w:type="spellStart"/>
      <w:r w:rsidR="004D7A4E" w:rsidRPr="004D7A4E">
        <w:rPr>
          <w:rFonts w:ascii="Times New Roman" w:hAnsi="Times New Roman" w:cs="Times New Roman"/>
          <w:color w:val="222222"/>
          <w:shd w:val="clear" w:color="auto" w:fill="FCFDFD"/>
        </w:rPr>
        <w:t>Toroslar</w:t>
      </w:r>
      <w:proofErr w:type="spellEnd"/>
      <w:r w:rsidR="004D7A4E" w:rsidRPr="004D7A4E">
        <w:rPr>
          <w:rFonts w:ascii="Times New Roman" w:hAnsi="Times New Roman" w:cs="Times New Roman"/>
          <w:color w:val="222222"/>
          <w:shd w:val="clear" w:color="auto" w:fill="FCFDFD"/>
        </w:rPr>
        <w:t>/MERSİN</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6A2C0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1EA" w:rsidRDefault="003C61EA">
      <w:pPr>
        <w:spacing w:after="0" w:line="240" w:lineRule="auto"/>
      </w:pPr>
      <w:r>
        <w:separator/>
      </w:r>
    </w:p>
  </w:endnote>
  <w:endnote w:type="continuationSeparator" w:id="0">
    <w:p w:rsidR="003C61EA" w:rsidRDefault="003C61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1EA" w:rsidRDefault="003C61EA">
      <w:pPr>
        <w:spacing w:after="0" w:line="240" w:lineRule="auto"/>
      </w:pPr>
      <w:r>
        <w:separator/>
      </w:r>
    </w:p>
  </w:footnote>
  <w:footnote w:type="continuationSeparator" w:id="0">
    <w:p w:rsidR="003C61EA" w:rsidRDefault="003C61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230D41"/>
    <w:rsid w:val="00230D41"/>
    <w:rsid w:val="0029402D"/>
    <w:rsid w:val="003B0C2A"/>
    <w:rsid w:val="003C61EA"/>
    <w:rsid w:val="004D7A4E"/>
    <w:rsid w:val="005D491E"/>
    <w:rsid w:val="00601B9C"/>
    <w:rsid w:val="006A2C0D"/>
    <w:rsid w:val="006C0F00"/>
    <w:rsid w:val="0074458B"/>
    <w:rsid w:val="00874F1A"/>
    <w:rsid w:val="00957DA3"/>
    <w:rsid w:val="009805C2"/>
    <w:rsid w:val="009B18A2"/>
    <w:rsid w:val="009E3645"/>
    <w:rsid w:val="009F3161"/>
    <w:rsid w:val="00A63A63"/>
    <w:rsid w:val="00C63DD5"/>
    <w:rsid w:val="00DF02E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C0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5D491E"/>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5D49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5420</Words>
  <Characters>30898</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9</cp:revision>
  <dcterms:created xsi:type="dcterms:W3CDTF">2012-04-18T15:10:00Z</dcterms:created>
  <dcterms:modified xsi:type="dcterms:W3CDTF">2014-07-21T05:52:00Z</dcterms:modified>
</cp:coreProperties>
</file>